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E1E4F" w14:textId="77777777" w:rsidR="00E665ED" w:rsidRPr="00E665ED" w:rsidRDefault="00E665ED" w:rsidP="000F3BBB">
      <w:pPr>
        <w:spacing w:after="0" w:line="240" w:lineRule="auto"/>
        <w:contextualSpacing/>
        <w:jc w:val="center"/>
        <w:rPr>
          <w:rFonts w:ascii="Arial" w:hAnsi="Arial" w:cs="Arial"/>
          <w:color w:val="222222"/>
          <w:sz w:val="24"/>
          <w:szCs w:val="24"/>
          <w:shd w:val="clear" w:color="auto" w:fill="FFFFFF"/>
        </w:rPr>
      </w:pPr>
      <w:r w:rsidRPr="00E665ED">
        <w:rPr>
          <w:rFonts w:ascii="Arial" w:hAnsi="Arial" w:cs="Arial"/>
          <w:color w:val="222222"/>
          <w:sz w:val="24"/>
          <w:szCs w:val="24"/>
          <w:shd w:val="clear" w:color="auto" w:fill="FFFFFF"/>
        </w:rPr>
        <w:t xml:space="preserve">CAPÍTULO </w:t>
      </w:r>
      <w:commentRangeStart w:id="0"/>
      <w:r w:rsidRPr="00E665ED">
        <w:rPr>
          <w:rFonts w:ascii="Arial" w:hAnsi="Arial" w:cs="Arial"/>
          <w:color w:val="222222"/>
          <w:sz w:val="24"/>
          <w:szCs w:val="24"/>
          <w:shd w:val="clear" w:color="auto" w:fill="FFFFFF"/>
        </w:rPr>
        <w:t>12</w:t>
      </w:r>
      <w:commentRangeEnd w:id="0"/>
      <w:r w:rsidRPr="00E665ED">
        <w:rPr>
          <w:rStyle w:val="Refdecomentario"/>
          <w:rFonts w:ascii="Arial" w:hAnsi="Arial" w:cs="Arial"/>
          <w:color w:val="222222"/>
          <w:sz w:val="24"/>
          <w:szCs w:val="24"/>
          <w:shd w:val="clear" w:color="auto" w:fill="FFFFFF"/>
        </w:rPr>
        <w:commentReference w:id="0"/>
      </w:r>
    </w:p>
    <w:p w14:paraId="187D89E1" w14:textId="77777777" w:rsidR="00E665ED" w:rsidRPr="00E665ED" w:rsidRDefault="00E665ED" w:rsidP="000F3BBB">
      <w:pPr>
        <w:spacing w:after="0" w:line="240" w:lineRule="auto"/>
        <w:contextualSpacing/>
        <w:jc w:val="center"/>
        <w:rPr>
          <w:rFonts w:ascii="Arial" w:hAnsi="Arial" w:cs="Arial"/>
          <w:color w:val="222222"/>
          <w:sz w:val="24"/>
          <w:szCs w:val="24"/>
          <w:shd w:val="clear" w:color="auto" w:fill="FFFFFF"/>
        </w:rPr>
      </w:pPr>
    </w:p>
    <w:p w14:paraId="231F33AA" w14:textId="77777777" w:rsidR="00E665ED" w:rsidRPr="00C132A6" w:rsidRDefault="00E665ED" w:rsidP="000F3BBB">
      <w:pPr>
        <w:spacing w:after="0" w:line="240" w:lineRule="auto"/>
        <w:contextualSpacing/>
        <w:jc w:val="center"/>
        <w:rPr>
          <w:rFonts w:ascii="Arial" w:eastAsia="Arial" w:hAnsi="Arial" w:cs="Arial"/>
          <w:b/>
          <w:bCs/>
          <w:sz w:val="32"/>
          <w:szCs w:val="32"/>
          <w:shd w:val="clear" w:color="auto" w:fill="FFFFFF"/>
          <w:lang w:eastAsia="es-MX"/>
        </w:rPr>
      </w:pPr>
      <w:r w:rsidRPr="00C132A6">
        <w:rPr>
          <w:rFonts w:ascii="Arial" w:eastAsia="Arial" w:hAnsi="Arial" w:cs="Arial"/>
          <w:b/>
          <w:bCs/>
          <w:sz w:val="32"/>
          <w:szCs w:val="32"/>
          <w:shd w:val="clear" w:color="auto" w:fill="FFFFFF"/>
          <w:lang w:eastAsia="es-MX"/>
        </w:rPr>
        <w:t xml:space="preserve">Mandato de masculinidad, control del cuerpo y violencia contra las mujeres en </w:t>
      </w:r>
      <w:commentRangeStart w:id="1"/>
      <w:r w:rsidRPr="00C132A6">
        <w:rPr>
          <w:rFonts w:ascii="Arial" w:eastAsia="Arial" w:hAnsi="Arial" w:cs="Arial"/>
          <w:b/>
          <w:bCs/>
          <w:sz w:val="32"/>
          <w:szCs w:val="32"/>
          <w:shd w:val="clear" w:color="auto" w:fill="FFFFFF"/>
          <w:lang w:eastAsia="es-MX"/>
        </w:rPr>
        <w:t>universidades</w:t>
      </w:r>
      <w:commentRangeEnd w:id="1"/>
      <w:r w:rsidRPr="00C132A6">
        <w:rPr>
          <w:rStyle w:val="Refdecomentario"/>
          <w:rFonts w:ascii="Arial" w:eastAsia="Arial" w:hAnsi="Arial" w:cs="Arial"/>
          <w:b/>
          <w:bCs/>
          <w:sz w:val="32"/>
          <w:szCs w:val="32"/>
          <w:shd w:val="clear" w:color="auto" w:fill="FFFFFF"/>
          <w:lang w:eastAsia="es-MX"/>
        </w:rPr>
        <w:commentReference w:id="1"/>
      </w:r>
    </w:p>
    <w:p w14:paraId="7F0DB9B3" w14:textId="77777777" w:rsidR="00E665ED" w:rsidRPr="00E665ED" w:rsidRDefault="00E665ED" w:rsidP="000F3BBB">
      <w:pPr>
        <w:spacing w:after="0" w:line="240" w:lineRule="auto"/>
        <w:contextualSpacing/>
        <w:jc w:val="center"/>
        <w:rPr>
          <w:rFonts w:ascii="Arial" w:eastAsia="Arial" w:hAnsi="Arial" w:cs="Arial"/>
          <w:bCs/>
          <w:sz w:val="24"/>
          <w:szCs w:val="24"/>
          <w:shd w:val="clear" w:color="auto" w:fill="FFFFFF"/>
          <w:lang w:eastAsia="es-MX"/>
        </w:rPr>
      </w:pPr>
    </w:p>
    <w:p w14:paraId="4C9A0A07" w14:textId="77777777" w:rsidR="00E665ED" w:rsidRPr="00E665ED" w:rsidRDefault="00E665ED" w:rsidP="000F3BBB">
      <w:pPr>
        <w:spacing w:after="0" w:line="240" w:lineRule="auto"/>
        <w:contextualSpacing/>
        <w:jc w:val="center"/>
        <w:rPr>
          <w:rFonts w:ascii="Arial" w:eastAsia="Arial" w:hAnsi="Arial" w:cs="Arial"/>
          <w:i/>
          <w:iCs/>
          <w:sz w:val="24"/>
          <w:szCs w:val="24"/>
          <w:shd w:val="clear" w:color="auto" w:fill="FFFFFF"/>
          <w:lang w:eastAsia="es-MX"/>
        </w:rPr>
      </w:pPr>
      <w:r w:rsidRPr="00E665ED">
        <w:rPr>
          <w:rFonts w:ascii="Arial" w:eastAsia="Arial" w:hAnsi="Arial" w:cs="Arial"/>
          <w:i/>
          <w:iCs/>
          <w:sz w:val="24"/>
          <w:szCs w:val="24"/>
          <w:shd w:val="clear" w:color="auto" w:fill="FFFFFF"/>
          <w:lang w:eastAsia="es-MX"/>
        </w:rPr>
        <w:t xml:space="preserve">Consuelo Patricia Martínez </w:t>
      </w:r>
      <w:commentRangeStart w:id="2"/>
      <w:r w:rsidRPr="00E665ED">
        <w:rPr>
          <w:rFonts w:ascii="Arial" w:eastAsia="Arial" w:hAnsi="Arial" w:cs="Arial"/>
          <w:i/>
          <w:iCs/>
          <w:sz w:val="24"/>
          <w:szCs w:val="24"/>
          <w:shd w:val="clear" w:color="auto" w:fill="FFFFFF"/>
          <w:lang w:eastAsia="es-MX"/>
        </w:rPr>
        <w:t>Lozano</w:t>
      </w:r>
      <w:commentRangeEnd w:id="2"/>
      <w:r w:rsidRPr="00E665ED">
        <w:rPr>
          <w:rStyle w:val="Refdecomentario"/>
          <w:rFonts w:ascii="Arial" w:eastAsia="Arial" w:hAnsi="Arial" w:cs="Arial"/>
          <w:i/>
          <w:iCs/>
          <w:sz w:val="24"/>
          <w:szCs w:val="24"/>
          <w:shd w:val="clear" w:color="auto" w:fill="FFFFFF"/>
          <w:lang w:eastAsia="es-MX"/>
        </w:rPr>
        <w:commentReference w:id="2"/>
      </w:r>
    </w:p>
    <w:p w14:paraId="4C7F8E13" w14:textId="77777777" w:rsidR="00E665ED" w:rsidRPr="00E665ED" w:rsidRDefault="00E665ED" w:rsidP="000F3BBB">
      <w:pPr>
        <w:spacing w:after="0" w:line="240" w:lineRule="auto"/>
        <w:contextualSpacing/>
        <w:rPr>
          <w:rFonts w:ascii="Arial" w:eastAsia="Arial" w:hAnsi="Arial" w:cs="Arial"/>
          <w:bCs/>
          <w:sz w:val="24"/>
          <w:szCs w:val="24"/>
          <w:lang w:eastAsia="es-MX"/>
        </w:rPr>
      </w:pPr>
    </w:p>
    <w:p w14:paraId="547A5F72" w14:textId="77777777" w:rsidR="00E665ED" w:rsidRPr="00E665ED" w:rsidRDefault="00E665ED" w:rsidP="000F3BBB">
      <w:pPr>
        <w:spacing w:after="0" w:line="240" w:lineRule="auto"/>
        <w:contextualSpacing/>
        <w:rPr>
          <w:rFonts w:ascii="Arial" w:eastAsia="Arial" w:hAnsi="Arial" w:cs="Arial"/>
          <w:bCs/>
          <w:sz w:val="24"/>
          <w:szCs w:val="24"/>
          <w:lang w:eastAsia="es-MX"/>
        </w:rPr>
      </w:pPr>
    </w:p>
    <w:p w14:paraId="75AC6B82" w14:textId="77777777" w:rsidR="00E665ED" w:rsidRPr="00E665ED" w:rsidRDefault="00E665ED" w:rsidP="000F3BBB">
      <w:pPr>
        <w:spacing w:after="0" w:line="240" w:lineRule="auto"/>
        <w:contextualSpacing/>
        <w:rPr>
          <w:rFonts w:ascii="Arial" w:eastAsia="Arial" w:hAnsi="Arial" w:cs="Arial"/>
          <w:bCs/>
          <w:sz w:val="24"/>
          <w:szCs w:val="24"/>
          <w:lang w:eastAsia="es-MX"/>
        </w:rPr>
      </w:pPr>
    </w:p>
    <w:p w14:paraId="72A544EC" w14:textId="77777777" w:rsidR="00E665ED" w:rsidRPr="00E665ED" w:rsidRDefault="00E665ED" w:rsidP="000F3BBB">
      <w:pPr>
        <w:spacing w:after="0" w:line="240" w:lineRule="auto"/>
        <w:contextualSpacing/>
        <w:rPr>
          <w:rFonts w:ascii="Arial" w:eastAsia="Arial" w:hAnsi="Arial" w:cs="Arial"/>
          <w:bCs/>
          <w:sz w:val="24"/>
          <w:szCs w:val="24"/>
          <w:lang w:eastAsia="es-MX"/>
        </w:rPr>
      </w:pPr>
    </w:p>
    <w:p w14:paraId="495204C0" w14:textId="77777777" w:rsidR="00E665ED" w:rsidRPr="00E665ED" w:rsidRDefault="00E665ED" w:rsidP="000F3BBB">
      <w:pPr>
        <w:spacing w:after="0" w:line="240" w:lineRule="auto"/>
        <w:contextualSpacing/>
        <w:rPr>
          <w:rFonts w:ascii="Arial" w:eastAsia="Arial" w:hAnsi="Arial" w:cs="Arial"/>
          <w:b/>
          <w:sz w:val="24"/>
          <w:szCs w:val="24"/>
          <w:lang w:eastAsia="es-MX"/>
        </w:rPr>
      </w:pPr>
      <w:commentRangeStart w:id="3"/>
      <w:r w:rsidRPr="00E665ED">
        <w:rPr>
          <w:rFonts w:ascii="Arial" w:eastAsia="Arial" w:hAnsi="Arial" w:cs="Arial"/>
          <w:b/>
          <w:sz w:val="24"/>
          <w:szCs w:val="24"/>
          <w:lang w:eastAsia="es-MX"/>
        </w:rPr>
        <w:t>Resumen</w:t>
      </w:r>
      <w:commentRangeEnd w:id="3"/>
      <w:r w:rsidR="0081137F" w:rsidRPr="00E665ED">
        <w:rPr>
          <w:rStyle w:val="Refdecomentario"/>
          <w:rFonts w:ascii="Arial" w:eastAsia="Arial" w:hAnsi="Arial" w:cs="Arial"/>
          <w:b/>
          <w:sz w:val="24"/>
          <w:szCs w:val="24"/>
          <w:lang w:eastAsia="es-MX"/>
        </w:rPr>
        <w:commentReference w:id="3"/>
      </w:r>
    </w:p>
    <w:p w14:paraId="6A8D0CB1" w14:textId="77777777" w:rsidR="00E665ED" w:rsidRPr="00E665ED" w:rsidRDefault="00E665ED" w:rsidP="000F3BBB">
      <w:pPr>
        <w:spacing w:after="0" w:line="240" w:lineRule="auto"/>
        <w:contextualSpacing/>
        <w:rPr>
          <w:rFonts w:ascii="Arial" w:eastAsia="Arial" w:hAnsi="Arial" w:cs="Arial"/>
          <w:bCs/>
          <w:smallCaps/>
          <w:sz w:val="24"/>
          <w:szCs w:val="24"/>
          <w:lang w:eastAsia="es-MX"/>
        </w:rPr>
      </w:pPr>
    </w:p>
    <w:p w14:paraId="402CE56D" w14:textId="77777777" w:rsidR="00E665ED" w:rsidRDefault="00E665ED" w:rsidP="000F3BBB">
      <w:pPr>
        <w:spacing w:after="0" w:line="240" w:lineRule="auto"/>
        <w:contextualSpacing/>
        <w:jc w:val="both"/>
        <w:rPr>
          <w:rFonts w:ascii="Arial" w:hAnsi="Arial" w:cs="Arial"/>
          <w:sz w:val="24"/>
          <w:szCs w:val="24"/>
        </w:rPr>
      </w:pPr>
      <w:commentRangeStart w:id="4"/>
      <w:r w:rsidRPr="00E665ED">
        <w:rPr>
          <w:rFonts w:ascii="Arial" w:hAnsi="Arial" w:cs="Arial"/>
          <w:sz w:val="24"/>
          <w:szCs w:val="24"/>
        </w:rPr>
        <w:t>A</w:t>
      </w:r>
      <w:commentRangeEnd w:id="4"/>
      <w:r w:rsidR="0081137F" w:rsidRPr="00E665ED">
        <w:rPr>
          <w:rStyle w:val="Refdecomentario"/>
          <w:rFonts w:ascii="Arial" w:hAnsi="Arial" w:cs="Arial"/>
          <w:sz w:val="24"/>
          <w:szCs w:val="24"/>
        </w:rPr>
        <w:commentReference w:id="4"/>
      </w:r>
      <w:r w:rsidRPr="00E665ED">
        <w:rPr>
          <w:rFonts w:ascii="Arial" w:hAnsi="Arial" w:cs="Arial"/>
          <w:sz w:val="24"/>
          <w:szCs w:val="24"/>
        </w:rPr>
        <w:t xml:space="preserve"> partir de una investigación cualitativa desarrollada en Instituciones de Educación Superior (IES) del estado de San Luis Potosí, el capítulo apunta en dos direcciones: 1) La configuración de un panorama teórico, analítico e interpretativo de las universidades como corporativos masculinos, altamente jerarquizados, que se fundan y operan en función de un orden político patriarcal sostenido por el mandato de masculinidad y la instauración de jerarquías excluyentes; y, 2) El análisis del ejercicio normalizado de relaciones de poder desiguales y a la captura del cuerpo de las mujeres por la institución educativa patriarcal. Las violencias contra las mujeres en estos ámbitos se sistematizan mediante la exhibición de las potencias masculinas que capturan el cuerpo de las mujeres a la par que se reproducen y refuerzan alianzas entre varones del corporativo masculino de las IES. Lo anterior implica la reproducción sistemática de la violencia simbólica como sustento de la estructura patriarcal de las universidades.</w:t>
      </w:r>
    </w:p>
    <w:p w14:paraId="156A5B7F" w14:textId="77777777" w:rsidR="00E665ED" w:rsidRPr="00E665ED" w:rsidRDefault="00E665ED" w:rsidP="000F3BBB">
      <w:pPr>
        <w:spacing w:after="0" w:line="240" w:lineRule="auto"/>
        <w:contextualSpacing/>
        <w:rPr>
          <w:rFonts w:ascii="Arial" w:eastAsia="Arial" w:hAnsi="Arial" w:cs="Arial"/>
          <w:sz w:val="24"/>
          <w:szCs w:val="24"/>
          <w:lang w:eastAsia="es-MX"/>
        </w:rPr>
      </w:pPr>
    </w:p>
    <w:p w14:paraId="2C44C2E5" w14:textId="77777777" w:rsidR="00E665ED" w:rsidRPr="00E665ED" w:rsidRDefault="00E665ED" w:rsidP="000F3BBB">
      <w:pPr>
        <w:spacing w:after="0" w:line="240" w:lineRule="auto"/>
        <w:contextualSpacing/>
        <w:rPr>
          <w:rFonts w:ascii="Arial" w:eastAsia="Arial" w:hAnsi="Arial" w:cs="Arial"/>
          <w:sz w:val="24"/>
          <w:szCs w:val="24"/>
          <w:lang w:eastAsia="es-MX"/>
        </w:rPr>
      </w:pPr>
    </w:p>
    <w:p w14:paraId="64F5A807" w14:textId="77777777" w:rsidR="00E665ED" w:rsidRPr="00E665ED" w:rsidRDefault="00E665ED" w:rsidP="000F3BBB">
      <w:pPr>
        <w:spacing w:after="0" w:line="240" w:lineRule="auto"/>
        <w:rPr>
          <w:rFonts w:ascii="Arial" w:eastAsia="Arial" w:hAnsi="Arial" w:cs="Arial"/>
          <w:b/>
          <w:sz w:val="24"/>
          <w:szCs w:val="24"/>
          <w:lang w:eastAsia="es-MX"/>
        </w:rPr>
      </w:pPr>
      <w:r w:rsidRPr="00E665ED">
        <w:rPr>
          <w:rFonts w:ascii="Arial" w:eastAsia="Arial" w:hAnsi="Arial" w:cs="Arial"/>
          <w:b/>
          <w:sz w:val="24"/>
          <w:szCs w:val="24"/>
          <w:lang w:eastAsia="es-MX"/>
        </w:rPr>
        <w:t>Introducción</w:t>
      </w:r>
    </w:p>
    <w:p w14:paraId="3F3BF068" w14:textId="77777777" w:rsidR="00E665ED" w:rsidRPr="00E665ED" w:rsidRDefault="00E665ED" w:rsidP="000F3BBB">
      <w:pPr>
        <w:spacing w:after="0" w:line="240" w:lineRule="auto"/>
        <w:contextualSpacing/>
        <w:jc w:val="both"/>
        <w:rPr>
          <w:rFonts w:ascii="Arial" w:eastAsia="Arial" w:hAnsi="Arial" w:cs="Arial"/>
          <w:bCs/>
          <w:smallCaps/>
          <w:sz w:val="24"/>
          <w:szCs w:val="24"/>
          <w:lang w:eastAsia="es-MX"/>
        </w:rPr>
      </w:pPr>
    </w:p>
    <w:p w14:paraId="798293C7" w14:textId="77777777" w:rsidR="00E665ED" w:rsidRPr="00E665ED" w:rsidRDefault="00E665ED" w:rsidP="000F3BBB">
      <w:pPr>
        <w:spacing w:after="0" w:line="240" w:lineRule="auto"/>
        <w:contextualSpacing/>
        <w:jc w:val="both"/>
        <w:rPr>
          <w:rFonts w:ascii="Arial" w:hAnsi="Arial" w:cs="Arial"/>
          <w:sz w:val="24"/>
          <w:szCs w:val="24"/>
        </w:rPr>
      </w:pPr>
      <w:r w:rsidRPr="00E665ED">
        <w:rPr>
          <w:rFonts w:ascii="Arial" w:hAnsi="Arial" w:cs="Arial"/>
          <w:sz w:val="24"/>
          <w:szCs w:val="24"/>
        </w:rPr>
        <w:t>El presente documento constituye la continuación, en segunda fase, de una investigación cualitativa de tipo antropológico social, que aborda la sistematización de la violencia contra las mujeres en las Instituciones de Educación Superior (IES).</w:t>
      </w:r>
      <w:r w:rsidRPr="00E665ED">
        <w:rPr>
          <w:rStyle w:val="Refdenotaalpie"/>
          <w:rFonts w:ascii="Arial" w:hAnsi="Arial" w:cs="Arial"/>
          <w:sz w:val="24"/>
          <w:szCs w:val="24"/>
        </w:rPr>
        <w:footnoteReference w:id="1"/>
      </w:r>
      <w:r w:rsidRPr="00E665ED">
        <w:rPr>
          <w:rFonts w:ascii="Arial" w:hAnsi="Arial" w:cs="Arial"/>
          <w:sz w:val="24"/>
          <w:szCs w:val="24"/>
        </w:rPr>
        <w:t xml:space="preserve"> En esta segunda etapa, la indagación se titula:</w:t>
      </w:r>
      <w:r w:rsidRPr="00E665ED">
        <w:rPr>
          <w:rFonts w:ascii="Arial" w:hAnsi="Arial" w:cs="Arial"/>
          <w:i/>
          <w:sz w:val="24"/>
          <w:szCs w:val="24"/>
        </w:rPr>
        <w:t xml:space="preserve"> Evaluación, mapeo georreferenciado y análisis cuantitativo y cualitativo sociocultural de la institucionalización de la perspectiva de género en universidades públicas de México, con acento en contextos con activación de Alerta de Violencia de Género </w:t>
      </w:r>
      <w:r w:rsidRPr="00E665ED">
        <w:rPr>
          <w:rFonts w:ascii="Arial" w:hAnsi="Arial" w:cs="Arial"/>
          <w:iCs/>
          <w:sz w:val="24"/>
          <w:szCs w:val="24"/>
        </w:rPr>
        <w:t>(ALVG). En</w:t>
      </w:r>
      <w:r w:rsidRPr="00E665ED">
        <w:rPr>
          <w:rFonts w:ascii="Arial" w:hAnsi="Arial" w:cs="Arial"/>
          <w:sz w:val="24"/>
          <w:szCs w:val="24"/>
        </w:rPr>
        <w:t xml:space="preserve"> términos generales, dicho estudio tiene como objetivo explorar y analizar los mecanismos y procesos desarrollados por IES en México, para implementar acciones encaminadas a instaurar la perspectiva de género, y las interpretaciones que las comunidades universitarias elaboran y vivencian en torno a estos procedimientos.</w:t>
      </w:r>
    </w:p>
    <w:p w14:paraId="216C3CDF" w14:textId="77777777" w:rsidR="00E665ED" w:rsidRPr="00E665ED" w:rsidRDefault="00E665ED" w:rsidP="000F3BBB">
      <w:pPr>
        <w:spacing w:after="0" w:line="240" w:lineRule="auto"/>
        <w:ind w:firstLine="425"/>
        <w:contextualSpacing/>
        <w:jc w:val="both"/>
        <w:rPr>
          <w:rFonts w:ascii="Arial" w:hAnsi="Arial" w:cs="Arial"/>
          <w:sz w:val="24"/>
          <w:szCs w:val="24"/>
        </w:rPr>
      </w:pPr>
      <w:r w:rsidRPr="00E665ED">
        <w:rPr>
          <w:rFonts w:ascii="Arial" w:hAnsi="Arial" w:cs="Arial"/>
          <w:sz w:val="24"/>
          <w:szCs w:val="24"/>
        </w:rPr>
        <w:t xml:space="preserve">A partir de los resultados que derivan de la primera indagación, ha sido posible identificar y hacer aproximaciones reflexivas sobre la forma en que la violencia contra las </w:t>
      </w:r>
      <w:r w:rsidRPr="00E665ED">
        <w:rPr>
          <w:rFonts w:ascii="Arial" w:hAnsi="Arial" w:cs="Arial"/>
          <w:sz w:val="24"/>
          <w:szCs w:val="24"/>
        </w:rPr>
        <w:lastRenderedPageBreak/>
        <w:t xml:space="preserve">mujeres se ejerce de manera sistemática en los contextos universitarios. Sin embargo, la implementación de medidas, principalmente de carácter burocrático, como los denominados observatorios, las defensorías de derechos universitarios y protocolos para denunciar violencias en las IES, no emanan de una toma de conciencia de la problemática por parte de la institución, o de asumir su responsabilidad directa en la continuidad de la violencia al interior del organismo, sino de disposiciones de obligatoriedad que provienen de instituciones nacionales, que a su vez obedecen a señalamientos de organismos internacionales. Esto sin perder de vista que tanto las organizaciones nacionales como las internacionales, pretenden dar respuesta a las demandas de las movilizaciones feministas, principalmente, expresadas en todo el mundo, que hacen llamados constantes por atención inmediata y cese de la violencia que se ejerce contra las mujeres, así como la apropiación y control de sus cuerpos en todos los escenarios de la vida pública y privada. </w:t>
      </w:r>
    </w:p>
    <w:p w14:paraId="5067E8FD" w14:textId="77777777" w:rsidR="00E665ED" w:rsidRPr="00E665ED" w:rsidRDefault="00E665ED" w:rsidP="000F3BBB">
      <w:pPr>
        <w:spacing w:after="0" w:line="240" w:lineRule="auto"/>
        <w:ind w:firstLine="425"/>
        <w:contextualSpacing/>
        <w:jc w:val="both"/>
        <w:rPr>
          <w:rFonts w:ascii="Arial" w:hAnsi="Arial" w:cs="Arial"/>
          <w:sz w:val="24"/>
          <w:szCs w:val="24"/>
        </w:rPr>
      </w:pPr>
      <w:r w:rsidRPr="00E665ED">
        <w:rPr>
          <w:rFonts w:ascii="Arial" w:hAnsi="Arial" w:cs="Arial"/>
          <w:sz w:val="24"/>
          <w:szCs w:val="24"/>
        </w:rPr>
        <w:t>Las siguientes líneas apuntan en dos direcciones: 1) Proponer un análisis fundamentado en perspectivas teóricas respecto a la instauración del mandato de masculinidad en el contexto universitario, para entender e interpretar las violencias en las IES como entornos altamente jerarquizados y organizados a través de relaciones de poder desiguales, lo que lleva a la constante ejecución de prácticas de subordinación y control que sistematizan la violencia contra las mujeres, y que la universidad necesita desarrollar en la vida cotidiana para continuar existiendo como organismo masculinizado. 2) Derivado de esto, también se sugiere un análisis respecto a la manera en que las mujeres son percibidas, re-significadas en las IES (concretamente se hace referencia a docentes y estudiantes), como cuerpos que son capturados o pertenecen a la institución, y que los mecanismos protocolarios, burocráticos, organizan y regulan esta cooptación.</w:t>
      </w:r>
    </w:p>
    <w:p w14:paraId="3D6211AB" w14:textId="77777777" w:rsidR="00E665ED" w:rsidRPr="00E665ED" w:rsidRDefault="00E665ED" w:rsidP="000F3BBB">
      <w:pPr>
        <w:spacing w:after="0" w:line="240" w:lineRule="auto"/>
        <w:contextualSpacing/>
        <w:jc w:val="both"/>
        <w:rPr>
          <w:rFonts w:ascii="Arial" w:hAnsi="Arial" w:cs="Arial"/>
          <w:sz w:val="24"/>
          <w:szCs w:val="24"/>
        </w:rPr>
      </w:pPr>
    </w:p>
    <w:p w14:paraId="764CAC34" w14:textId="77777777" w:rsidR="00E665ED" w:rsidRPr="00E665ED" w:rsidRDefault="00E665ED" w:rsidP="000F3BBB">
      <w:pPr>
        <w:spacing w:after="0" w:line="240" w:lineRule="auto"/>
        <w:contextualSpacing/>
        <w:jc w:val="both"/>
        <w:rPr>
          <w:rFonts w:ascii="Arial" w:hAnsi="Arial" w:cs="Arial"/>
          <w:sz w:val="24"/>
          <w:szCs w:val="24"/>
        </w:rPr>
      </w:pPr>
    </w:p>
    <w:p w14:paraId="767733FC" w14:textId="77777777" w:rsidR="00E665ED" w:rsidRPr="00E665ED" w:rsidRDefault="00E665ED" w:rsidP="000F3BBB">
      <w:pPr>
        <w:spacing w:after="0" w:line="240" w:lineRule="auto"/>
        <w:rPr>
          <w:rFonts w:ascii="Arial" w:eastAsia="Arial" w:hAnsi="Arial" w:cs="Arial"/>
          <w:b/>
          <w:sz w:val="24"/>
          <w:szCs w:val="24"/>
          <w:lang w:eastAsia="es-MX"/>
        </w:rPr>
      </w:pPr>
      <w:r w:rsidRPr="00E665ED">
        <w:rPr>
          <w:rFonts w:ascii="Arial" w:eastAsia="Arial" w:hAnsi="Arial" w:cs="Arial"/>
          <w:b/>
          <w:sz w:val="24"/>
          <w:szCs w:val="24"/>
          <w:lang w:eastAsia="es-MX"/>
        </w:rPr>
        <w:t>Mandato de masculinidad en las IES y sistematización de la violencia contra las mujeres</w:t>
      </w:r>
    </w:p>
    <w:p w14:paraId="5612365E" w14:textId="77777777" w:rsidR="00E665ED" w:rsidRPr="00E665ED" w:rsidRDefault="00E665ED" w:rsidP="000F3BBB">
      <w:pPr>
        <w:spacing w:after="0" w:line="240" w:lineRule="auto"/>
        <w:contextualSpacing/>
        <w:jc w:val="both"/>
        <w:rPr>
          <w:rFonts w:ascii="Arial" w:hAnsi="Arial" w:cs="Arial"/>
          <w:sz w:val="24"/>
          <w:szCs w:val="24"/>
        </w:rPr>
      </w:pPr>
    </w:p>
    <w:p w14:paraId="13BC9CAD" w14:textId="77777777" w:rsidR="00E665ED" w:rsidRPr="00E665ED" w:rsidRDefault="00E665ED" w:rsidP="000F3BBB">
      <w:pPr>
        <w:spacing w:after="0" w:line="240" w:lineRule="auto"/>
        <w:contextualSpacing/>
        <w:jc w:val="both"/>
        <w:rPr>
          <w:rFonts w:ascii="Arial" w:hAnsi="Arial" w:cs="Arial"/>
          <w:sz w:val="24"/>
          <w:szCs w:val="24"/>
        </w:rPr>
      </w:pPr>
      <w:r w:rsidRPr="00E665ED">
        <w:rPr>
          <w:rFonts w:ascii="Arial" w:hAnsi="Arial" w:cs="Arial"/>
          <w:sz w:val="24"/>
          <w:szCs w:val="24"/>
        </w:rPr>
        <w:t xml:space="preserve">Las universidades en occidente fueron creadas por y para los varones. Este basamento histórico de nacimiento mantiene una vigencia, a lo largo del tiempo y en las diferentes geografías y circunstancias, que se expresa y se hace patente, objetivable, en la realidad cotidiana y en toda la dinámica institucional (Martínez, 2017; 2019). No se trata de una característica o una expresión del pasado, sino que mantiene continuidad en el presente (Buquet </w:t>
      </w:r>
      <w:r w:rsidRPr="00E665ED">
        <w:rPr>
          <w:rFonts w:ascii="Arial" w:hAnsi="Arial" w:cs="Arial"/>
          <w:iCs/>
          <w:sz w:val="24"/>
          <w:szCs w:val="24"/>
        </w:rPr>
        <w:t>et al.</w:t>
      </w:r>
      <w:r w:rsidRPr="00E665ED">
        <w:rPr>
          <w:rFonts w:ascii="Arial" w:hAnsi="Arial" w:cs="Arial"/>
          <w:i/>
          <w:sz w:val="24"/>
          <w:szCs w:val="24"/>
        </w:rPr>
        <w:t>,</w:t>
      </w:r>
      <w:r w:rsidRPr="00E665ED">
        <w:rPr>
          <w:rFonts w:ascii="Arial" w:hAnsi="Arial" w:cs="Arial"/>
          <w:sz w:val="24"/>
          <w:szCs w:val="24"/>
        </w:rPr>
        <w:t xml:space="preserve"> 2013) con el agregado de que la incidencia de las prácticas violentas contra las mujeres, no parece menguar en el tiempo; al contrario, se torna más enfática y constante. </w:t>
      </w:r>
    </w:p>
    <w:p w14:paraId="45D35B3C" w14:textId="77777777" w:rsidR="00E665ED" w:rsidRPr="00E665ED" w:rsidRDefault="00E665ED" w:rsidP="000F3BBB">
      <w:pPr>
        <w:spacing w:after="0" w:line="240" w:lineRule="auto"/>
        <w:ind w:firstLine="425"/>
        <w:contextualSpacing/>
        <w:jc w:val="both"/>
        <w:rPr>
          <w:rFonts w:ascii="Arial" w:hAnsi="Arial" w:cs="Arial"/>
          <w:sz w:val="24"/>
          <w:szCs w:val="24"/>
        </w:rPr>
      </w:pPr>
      <w:r w:rsidRPr="00E665ED">
        <w:rPr>
          <w:rFonts w:ascii="Arial" w:hAnsi="Arial" w:cs="Arial"/>
          <w:sz w:val="24"/>
          <w:szCs w:val="24"/>
        </w:rPr>
        <w:t xml:space="preserve">El sello de la conformación y operatividad masculina de las universidades, constituye un mecanismo transhistórico que opera al interior de estas organizaciones educativas y también se revela como una extensión de la violencia contra las mujeres profundamente enraizada en toda conformación de la vida social, institucional y estructural del Estado. La violencia que viven las mujeres en las IES se perfila como la extensión de la violencia presente en los entornos familiares, en la dinámica religiosa, política, económica, cultural, etc., de la vida social en su conjunto. </w:t>
      </w:r>
    </w:p>
    <w:p w14:paraId="585FE416" w14:textId="77777777" w:rsidR="00E665ED" w:rsidRPr="00E665ED" w:rsidRDefault="00E665ED" w:rsidP="000F3BBB">
      <w:pPr>
        <w:spacing w:after="0" w:line="240" w:lineRule="auto"/>
        <w:ind w:firstLine="425"/>
        <w:contextualSpacing/>
        <w:jc w:val="both"/>
        <w:rPr>
          <w:rFonts w:ascii="Arial" w:hAnsi="Arial" w:cs="Arial"/>
          <w:sz w:val="24"/>
          <w:szCs w:val="24"/>
        </w:rPr>
      </w:pPr>
      <w:r w:rsidRPr="00E665ED">
        <w:rPr>
          <w:rFonts w:ascii="Arial" w:hAnsi="Arial" w:cs="Arial"/>
          <w:sz w:val="24"/>
          <w:szCs w:val="24"/>
        </w:rPr>
        <w:t xml:space="preserve">Conforme a Segato (2010; 2016; 2018), el mandato de masculinidad exige a los varones el despliegue y ostentación del poder, mismo que conlleva la necesidad de disciplinamiento constante al que deben ser sometidas las mujeres. Al mismo tiempo, </w:t>
      </w:r>
      <w:r w:rsidRPr="00E665ED">
        <w:rPr>
          <w:rFonts w:ascii="Arial" w:hAnsi="Arial" w:cs="Arial"/>
          <w:sz w:val="24"/>
          <w:szCs w:val="24"/>
        </w:rPr>
        <w:lastRenderedPageBreak/>
        <w:t xml:space="preserve">este mandato que opera en la cofradía masculina, a manera de una </w:t>
      </w:r>
      <w:r w:rsidRPr="00E665ED">
        <w:rPr>
          <w:rFonts w:ascii="Arial" w:hAnsi="Arial" w:cs="Arial"/>
          <w:i/>
          <w:sz w:val="24"/>
          <w:szCs w:val="24"/>
        </w:rPr>
        <w:t>corporación</w:t>
      </w:r>
      <w:r w:rsidRPr="00E665ED">
        <w:rPr>
          <w:rFonts w:ascii="Arial" w:hAnsi="Arial" w:cs="Arial"/>
          <w:sz w:val="24"/>
          <w:szCs w:val="24"/>
        </w:rPr>
        <w:t xml:space="preserve"> de varones, lo hace mediante la consolidación de las jerarquías y exige de sus integrantes fidelidad absoluta a dicho corporativo y a esos estamentos jerárquicos fundamentados en la competencia y en la exhibición de las potencias.</w:t>
      </w:r>
      <w:r w:rsidRPr="00E665ED">
        <w:rPr>
          <w:rStyle w:val="Refdenotaalpie"/>
          <w:rFonts w:ascii="Arial" w:hAnsi="Arial" w:cs="Arial"/>
          <w:sz w:val="24"/>
          <w:szCs w:val="24"/>
        </w:rPr>
        <w:footnoteReference w:id="2"/>
      </w:r>
      <w:r w:rsidRPr="00E665ED">
        <w:rPr>
          <w:rFonts w:ascii="Arial" w:hAnsi="Arial" w:cs="Arial"/>
          <w:sz w:val="24"/>
          <w:szCs w:val="24"/>
        </w:rPr>
        <w:t xml:space="preserve"> La violencia contra las mujeres en las IES es una violencia corporativa sistemática. </w:t>
      </w:r>
    </w:p>
    <w:p w14:paraId="71BE1148" w14:textId="77777777" w:rsidR="00E665ED" w:rsidRPr="00E665ED" w:rsidRDefault="00E665ED" w:rsidP="000F3BBB">
      <w:pPr>
        <w:spacing w:after="0" w:line="240" w:lineRule="auto"/>
        <w:ind w:firstLine="425"/>
        <w:contextualSpacing/>
        <w:jc w:val="both"/>
        <w:rPr>
          <w:rFonts w:ascii="Arial" w:hAnsi="Arial" w:cs="Arial"/>
          <w:sz w:val="24"/>
          <w:szCs w:val="24"/>
        </w:rPr>
      </w:pPr>
      <w:r w:rsidRPr="00E665ED">
        <w:rPr>
          <w:rFonts w:ascii="Arial" w:hAnsi="Arial" w:cs="Arial"/>
          <w:sz w:val="24"/>
          <w:szCs w:val="24"/>
        </w:rPr>
        <w:t xml:space="preserve">El mandato de masculinidad lleva implícito la instauración de un sistema de prestigio y de competencia que es también, y al mismo tiempo, jerárquico. Las universidades gozan de un capital simbólico centrado en la generosidad, la inteligencia, la enseñanza y la formación profesional. Se asume que se trata de una institución democrática e igualitaria, en donde las prácticas violentas no tienen lugar. Ese capital simbólico avala y necesita la profundización de las desigualdades, en el sentido de que las relaciones de poder desiguales son básicas para la consolidación de las jerarquías. Poder, dominación, control, </w:t>
      </w:r>
      <w:r w:rsidRPr="00E665ED">
        <w:rPr>
          <w:rFonts w:ascii="Arial" w:hAnsi="Arial" w:cs="Arial"/>
          <w:i/>
          <w:sz w:val="24"/>
          <w:szCs w:val="24"/>
        </w:rPr>
        <w:t>disciplinamiento</w:t>
      </w:r>
      <w:r w:rsidRPr="00E665ED">
        <w:rPr>
          <w:rFonts w:ascii="Arial" w:hAnsi="Arial" w:cs="Arial"/>
          <w:sz w:val="24"/>
          <w:szCs w:val="24"/>
        </w:rPr>
        <w:t xml:space="preserve">, constituyen mecanismos que refuerzan los escalafones piramidales, y el requerimiento de la competitividad para ascender, liderar y/o encumbrarse en estamentos jerarquizados. En el caso de las IES, la conformación de procesos y desempeños institucionales burocráticos, como la instauración de las defensorías, la implementación de protocolos de acción en la atención de violencias, la puesta en marcha de observatorios, etc., se perfilan, contradictoriamente, como expresiones manifiestas del poder institucional patriarcalizado. La </w:t>
      </w:r>
      <w:r w:rsidRPr="00E665ED">
        <w:rPr>
          <w:rFonts w:ascii="Arial" w:hAnsi="Arial" w:cs="Arial"/>
          <w:i/>
          <w:sz w:val="24"/>
          <w:szCs w:val="24"/>
        </w:rPr>
        <w:t>máxima autoridad</w:t>
      </w:r>
      <w:r w:rsidRPr="00E665ED">
        <w:rPr>
          <w:rFonts w:ascii="Arial" w:hAnsi="Arial" w:cs="Arial"/>
          <w:sz w:val="24"/>
          <w:szCs w:val="24"/>
        </w:rPr>
        <w:t xml:space="preserve"> en las universidades, se enviste justamente de su jerarquía para regular las relaciones de poder en su población, burocratizándolas. Las IES, como el Estado republicano democrático, de raíz occidental, tienen un “ADN patriarcal” (Segato, 2016), un basamento de origen instalado en la jerarquía y el reconocimiento masculino en el marco de un sistema de prestigio como escenario de la exhibición de la potencia intelectual y política, entre otras. </w:t>
      </w:r>
    </w:p>
    <w:p w14:paraId="23A9E993" w14:textId="77777777" w:rsidR="00E665ED" w:rsidRPr="00E665ED" w:rsidRDefault="00E665ED" w:rsidP="000F3BBB">
      <w:pPr>
        <w:spacing w:after="0" w:line="240" w:lineRule="auto"/>
        <w:ind w:firstLine="425"/>
        <w:contextualSpacing/>
        <w:jc w:val="both"/>
        <w:rPr>
          <w:rFonts w:ascii="Arial" w:hAnsi="Arial" w:cs="Arial"/>
          <w:sz w:val="24"/>
          <w:szCs w:val="24"/>
        </w:rPr>
      </w:pPr>
      <w:r w:rsidRPr="00E665ED">
        <w:rPr>
          <w:rFonts w:ascii="Arial" w:hAnsi="Arial" w:cs="Arial"/>
          <w:sz w:val="24"/>
          <w:szCs w:val="24"/>
        </w:rPr>
        <w:t>La conformación patriarcal de las IES requiere del ejercicio de las relaciones de poder para garantizar su existencia, su vigencia y sus maneras de operar. Esto significa que de alguna manera necesitan de las relaciones de poder desiguales para que las jerarquías no perezcan y el ejercicio del poder se mantenga. La dinámica burocrática alimenta el sistema de prestigio en las universidades. La autoridad universitaria dictamina y establece regulaciones a las interacciones cotidianas, sin que esto signifique incidencias en el mismo sentido en las prácticas concretas y en la reflexividad colectiva de la población universitaria. Entender a las IES como escenarios de la corporación masculina, permite comprender por qué las prácticas violentas no se pueden eliminar por decreto en la convivencia al interior de las universidades, aunque estos recintos sean regidos por mujeres.</w:t>
      </w:r>
    </w:p>
    <w:p w14:paraId="48726DF7" w14:textId="77777777" w:rsidR="00E665ED" w:rsidRPr="00E665ED" w:rsidRDefault="00E665ED" w:rsidP="000F3BBB">
      <w:pPr>
        <w:spacing w:after="0" w:line="240" w:lineRule="auto"/>
        <w:contextualSpacing/>
        <w:jc w:val="both"/>
        <w:rPr>
          <w:rFonts w:ascii="Arial" w:hAnsi="Arial" w:cs="Arial"/>
          <w:sz w:val="24"/>
          <w:szCs w:val="24"/>
        </w:rPr>
      </w:pPr>
    </w:p>
    <w:p w14:paraId="68F17418" w14:textId="77777777" w:rsidR="00E665ED" w:rsidRPr="00E665ED" w:rsidRDefault="00E665ED" w:rsidP="000F3BBB">
      <w:pPr>
        <w:spacing w:after="0" w:line="240" w:lineRule="auto"/>
        <w:contextualSpacing/>
        <w:jc w:val="both"/>
        <w:rPr>
          <w:rFonts w:ascii="Arial" w:hAnsi="Arial" w:cs="Arial"/>
          <w:sz w:val="24"/>
          <w:szCs w:val="24"/>
        </w:rPr>
      </w:pPr>
    </w:p>
    <w:p w14:paraId="11FFB4FB" w14:textId="77777777" w:rsidR="00E665ED" w:rsidRPr="0081137F" w:rsidRDefault="00E665ED" w:rsidP="000F3BBB">
      <w:pPr>
        <w:spacing w:after="0" w:line="240" w:lineRule="auto"/>
        <w:rPr>
          <w:rFonts w:ascii="Arial" w:eastAsia="Arial" w:hAnsi="Arial" w:cs="Arial"/>
          <w:bCs/>
          <w:i/>
          <w:iCs/>
          <w:sz w:val="24"/>
          <w:szCs w:val="24"/>
          <w:lang w:eastAsia="es-MX"/>
        </w:rPr>
      </w:pPr>
      <w:commentRangeStart w:id="5"/>
      <w:r w:rsidRPr="0081137F">
        <w:rPr>
          <w:rFonts w:ascii="Arial" w:eastAsia="Arial" w:hAnsi="Arial" w:cs="Arial"/>
          <w:bCs/>
          <w:i/>
          <w:iCs/>
          <w:sz w:val="24"/>
          <w:szCs w:val="24"/>
          <w:lang w:eastAsia="es-MX"/>
        </w:rPr>
        <w:t>Encapsular</w:t>
      </w:r>
      <w:commentRangeEnd w:id="5"/>
      <w:r w:rsidR="0081137F" w:rsidRPr="0081137F">
        <w:rPr>
          <w:rStyle w:val="Refdecomentario"/>
          <w:rFonts w:ascii="Arial" w:eastAsia="Arial" w:hAnsi="Arial" w:cs="Arial"/>
          <w:bCs/>
          <w:i/>
          <w:iCs/>
          <w:sz w:val="24"/>
          <w:szCs w:val="24"/>
          <w:lang w:eastAsia="es-MX"/>
        </w:rPr>
        <w:commentReference w:id="5"/>
      </w:r>
      <w:r w:rsidRPr="0081137F">
        <w:rPr>
          <w:rFonts w:ascii="Arial" w:eastAsia="Arial" w:hAnsi="Arial" w:cs="Arial"/>
          <w:bCs/>
          <w:i/>
          <w:iCs/>
          <w:sz w:val="24"/>
          <w:szCs w:val="24"/>
          <w:lang w:eastAsia="es-MX"/>
        </w:rPr>
        <w:t xml:space="preserve"> el cuerpo de las mujeres en las IES</w:t>
      </w:r>
    </w:p>
    <w:p w14:paraId="19CEC91E" w14:textId="77777777" w:rsidR="00E665ED" w:rsidRPr="00E665ED" w:rsidRDefault="00E665ED" w:rsidP="000F3BBB">
      <w:pPr>
        <w:spacing w:after="0" w:line="240" w:lineRule="auto"/>
        <w:contextualSpacing/>
        <w:jc w:val="both"/>
        <w:rPr>
          <w:rFonts w:ascii="Arial" w:hAnsi="Arial" w:cs="Arial"/>
          <w:sz w:val="24"/>
          <w:szCs w:val="24"/>
        </w:rPr>
      </w:pPr>
    </w:p>
    <w:p w14:paraId="2D0645C3" w14:textId="77777777" w:rsidR="00E665ED" w:rsidRPr="00E665ED" w:rsidRDefault="00E665ED" w:rsidP="000F3BBB">
      <w:pPr>
        <w:spacing w:after="0" w:line="240" w:lineRule="auto"/>
        <w:contextualSpacing/>
        <w:jc w:val="both"/>
        <w:rPr>
          <w:rFonts w:ascii="Arial" w:hAnsi="Arial" w:cs="Arial"/>
          <w:sz w:val="24"/>
          <w:szCs w:val="24"/>
        </w:rPr>
      </w:pPr>
      <w:r w:rsidRPr="00E665ED">
        <w:rPr>
          <w:rFonts w:ascii="Arial" w:hAnsi="Arial" w:cs="Arial"/>
          <w:sz w:val="24"/>
          <w:szCs w:val="24"/>
        </w:rPr>
        <w:t xml:space="preserve">Las movilizaciones feministas en México, en sus diferentes etapas históricas han tenido en las escuelas y en las universidades un significativo baluarte (Barrancos, 2020). Particularmente, los años noventa del siglo XX develan acciones importantes respecto al feminismo en las universidades más consolidadas del país, especialmente de la Ciudad </w:t>
      </w:r>
      <w:r w:rsidRPr="00E665ED">
        <w:rPr>
          <w:rFonts w:ascii="Arial" w:hAnsi="Arial" w:cs="Arial"/>
          <w:sz w:val="24"/>
          <w:szCs w:val="24"/>
        </w:rPr>
        <w:lastRenderedPageBreak/>
        <w:t xml:space="preserve">de México. Actualmente, la presencia de las jóvenes mujeres en la escena de la movilización feminista, principalmente las estudiantes universitarias, han perfilado la relevancia de las IES como entidades aglutinadoras de los diversos feminismos en el país y también en América Latina. Esto sin perder de vista la presencia, fuerza y contundencia de acciones y movilizaciones de mujeres de pueblos originarios y afrodescendientes, que están caracterizando de manera fundamental y radical los feminismos en el continente, sin necesidad de autodenominarse “feministas”. </w:t>
      </w:r>
    </w:p>
    <w:p w14:paraId="64AF16B7" w14:textId="77777777" w:rsidR="00E665ED" w:rsidRPr="00E665ED" w:rsidRDefault="00E665ED" w:rsidP="000F3BBB">
      <w:pPr>
        <w:spacing w:after="0" w:line="240" w:lineRule="auto"/>
        <w:ind w:firstLine="425"/>
        <w:contextualSpacing/>
        <w:jc w:val="both"/>
        <w:rPr>
          <w:rFonts w:ascii="Arial" w:hAnsi="Arial" w:cs="Arial"/>
          <w:sz w:val="24"/>
          <w:szCs w:val="24"/>
        </w:rPr>
      </w:pPr>
      <w:r w:rsidRPr="00E665ED">
        <w:rPr>
          <w:rFonts w:ascii="Arial" w:hAnsi="Arial" w:cs="Arial"/>
          <w:sz w:val="24"/>
          <w:szCs w:val="24"/>
        </w:rPr>
        <w:t xml:space="preserve">La creciente acción feminista de jóvenes mujeres estudiantes en IES del país, que actúan de manera independiente de las universidades en las que estudian, marca un pronunciado contraste con la desarticulación organizativa y falta de autonomía de las docentes/investigadoras universitarias, que desemboca en la institucionalización de la visión de género, y en una configuración </w:t>
      </w:r>
      <w:r w:rsidRPr="00E665ED">
        <w:rPr>
          <w:rFonts w:ascii="Arial" w:hAnsi="Arial" w:cs="Arial"/>
          <w:i/>
          <w:sz w:val="24"/>
          <w:szCs w:val="24"/>
        </w:rPr>
        <w:t>oficialista</w:t>
      </w:r>
      <w:r w:rsidRPr="00E665ED">
        <w:rPr>
          <w:rFonts w:ascii="Arial" w:hAnsi="Arial" w:cs="Arial"/>
          <w:sz w:val="24"/>
          <w:szCs w:val="24"/>
        </w:rPr>
        <w:t xml:space="preserve">, políticamente correcta, y en ese sentido patriarcal izada, de la imagen, presencia, trabajo y producción de conocimiento de las mujeres académicas en las IES. No obstante que fueron las docentes feministas quienes insertaron en el contexto universitario la perspectiva teórica y metodológica del género y el feminismo, y que principalmente en los años noventa del siglo pasado lograron fundar centros de investigación, posgrados, seminarios, diplomados, cursos, etc., sobre género (lo cual, evidentemente, no es poca cosa), sus formas de organización y su misma presencia en las IES ha ido acotándose o plegándose a la dinámica institucional en turno. </w:t>
      </w:r>
    </w:p>
    <w:p w14:paraId="2C075242" w14:textId="77777777" w:rsidR="00E665ED" w:rsidRPr="00E665ED" w:rsidRDefault="00E665ED" w:rsidP="000F3BBB">
      <w:pPr>
        <w:spacing w:after="0" w:line="240" w:lineRule="auto"/>
        <w:ind w:firstLine="425"/>
        <w:contextualSpacing/>
        <w:jc w:val="both"/>
        <w:rPr>
          <w:rFonts w:ascii="Arial" w:hAnsi="Arial" w:cs="Arial"/>
          <w:sz w:val="24"/>
          <w:szCs w:val="24"/>
        </w:rPr>
      </w:pPr>
      <w:r w:rsidRPr="00E665ED">
        <w:rPr>
          <w:rFonts w:ascii="Arial" w:hAnsi="Arial" w:cs="Arial"/>
          <w:sz w:val="24"/>
          <w:szCs w:val="24"/>
        </w:rPr>
        <w:t xml:space="preserve">A finales de los años ochenta del siglo pasado, la antropóloga Marcela Lagarde concluía su famoso texto titulado “Los cautiverios de las mujeres. Madresposas, monjas, putas, presas y locas” (2014). A más de treinta años de ese trabajo feminista, habría que sumarle otra categoría de dominación, de “captura”, de despojo y violencia contra las mujeres: la academia; los contextos de educación superior, la investigación científica en todas sus áreas de conocimiento, por no mencionar, también, el ámbito de acción o ejercicio de las políticas públicas y las instituciones del Estado en general. En la persecución constante del reconocimiento que orilla y obliga el quehacer de indagación científica, conforme a las normativas institucionales, las mujeres en las IES son continuamente empujadas a una competencia patriarcal, a ceñirse y doblegarse íntegra y estrictamente a la dominación y los mandatos de la academia. Esto se ha acentuado y profundizado con los años, pues si bien las mujeres de manera paulatina y creciente se han insertado en los diferentes espacios que involucra la actividad académica, dichos contextos no se han feminizado; es decir, no han ido desarrollando giros hacia la operatividad y practicidad propias de las mujeres en los espacios privados (Segato, 2016; 2018), dirigidas hacia la vincularidad, horizontalidad y el arraigo; por el contrario, han enfatizado su carácter patriarcal, vertical, jerárquico excluyente, competitivo, burocrático y estatista. </w:t>
      </w:r>
    </w:p>
    <w:p w14:paraId="2FEB7768" w14:textId="77777777" w:rsidR="00E665ED" w:rsidRPr="00E665ED" w:rsidRDefault="00E665ED" w:rsidP="000F3BBB">
      <w:pPr>
        <w:spacing w:after="0" w:line="240" w:lineRule="auto"/>
        <w:ind w:firstLine="425"/>
        <w:contextualSpacing/>
        <w:jc w:val="both"/>
        <w:rPr>
          <w:rFonts w:ascii="Arial" w:hAnsi="Arial" w:cs="Arial"/>
          <w:sz w:val="24"/>
          <w:szCs w:val="24"/>
        </w:rPr>
      </w:pPr>
      <w:r w:rsidRPr="00E665ED">
        <w:rPr>
          <w:rFonts w:ascii="Arial" w:hAnsi="Arial" w:cs="Arial"/>
          <w:sz w:val="24"/>
          <w:szCs w:val="24"/>
        </w:rPr>
        <w:t xml:space="preserve">En este sentido, y retomando también a Lagarde (2018), es posible atisbar que las instituciones no fomentan la autonomía de las mujeres, entendida como la libertad y soberanía de las mujeres sobre sus cuerpos y respecto de sí mismas para operar con autoridad sus propias decisiones en su vida. La idea o el planteamiento respecto a la autonomía tiene que ver con una visión integral, donde las mujeres sean autónomas en términos individuales, pero también, y al mismo tiempo, en los contextos sociales-estructurales-institucionales que reconozcan y apoyen esa potestad, jerarquía y arbitrio de las mujeres, de sus decisiones, de sus cuerpos y de sus acciones.  </w:t>
      </w:r>
    </w:p>
    <w:p w14:paraId="7750AAEB" w14:textId="77777777" w:rsidR="00E665ED" w:rsidRPr="00E665ED" w:rsidRDefault="00E665ED" w:rsidP="000F3BBB">
      <w:pPr>
        <w:spacing w:after="0" w:line="240" w:lineRule="auto"/>
        <w:ind w:firstLine="425"/>
        <w:contextualSpacing/>
        <w:jc w:val="both"/>
        <w:rPr>
          <w:rFonts w:ascii="Arial" w:hAnsi="Arial" w:cs="Arial"/>
          <w:sz w:val="24"/>
          <w:szCs w:val="24"/>
        </w:rPr>
      </w:pPr>
      <w:r w:rsidRPr="00E665ED">
        <w:rPr>
          <w:rFonts w:ascii="Arial" w:hAnsi="Arial" w:cs="Arial"/>
          <w:sz w:val="24"/>
          <w:szCs w:val="24"/>
        </w:rPr>
        <w:lastRenderedPageBreak/>
        <w:t xml:space="preserve">El cuerpo de las mujeres, tanto de estudiantes como académicas y administrativas, es disciplinado y “capturado” de manera sistemática en las IES, consolidando la configuración patriarcal de la institución. La imagen que se maneja de las mujeres, según la disciplina del conocimiento en la que se insertan profesoras y estudiantes universitarias, pasa por un tamiz de apropiación, de encapsulamiento, de captura y de direccionamientos hacia lo que patriarcalmente se ha construido como una mujer que estudia, imparte clase o investiga, genera conocimiento, en determinadas áreas científicas y/o tecnológicas. El cuerpo de las mujeres en las IES es construido, puesto “en circulación” (Rubin, 1996) por la mirada masculina-patriarcal, controladora, del corporativo de las IES. Esta circulación del bien simbólico que es el cuerpo femenino de las universitarias, manejado, disciplinado, construido por y para la institución, se instaura como un elemento fundamental en la sistematicidad de las violencias que las IES ejercen hacia las mujeres, y se constituye como parte de la exhibición de las potencias masculinas institucionalizadas. </w:t>
      </w:r>
    </w:p>
    <w:p w14:paraId="6CB9E6EA" w14:textId="77777777" w:rsidR="00E665ED" w:rsidRPr="00E665ED" w:rsidRDefault="00E665ED" w:rsidP="000F3BBB">
      <w:pPr>
        <w:spacing w:after="0" w:line="240" w:lineRule="auto"/>
        <w:ind w:firstLine="425"/>
        <w:contextualSpacing/>
        <w:jc w:val="both"/>
        <w:rPr>
          <w:rFonts w:ascii="Arial" w:hAnsi="Arial" w:cs="Arial"/>
          <w:sz w:val="24"/>
          <w:szCs w:val="24"/>
        </w:rPr>
      </w:pPr>
      <w:r w:rsidRPr="00E665ED">
        <w:rPr>
          <w:rFonts w:ascii="Arial" w:hAnsi="Arial" w:cs="Arial"/>
          <w:sz w:val="24"/>
          <w:szCs w:val="24"/>
        </w:rPr>
        <w:t xml:space="preserve">En las IES, las mujeres, sobre todo las académicas, aspiran o agradecen ser visibilizadas dentro y fuera de la propia institución. Es una forma en que la corporación masculina universitaria las </w:t>
      </w:r>
      <w:r w:rsidRPr="00E665ED">
        <w:rPr>
          <w:rFonts w:ascii="Arial" w:hAnsi="Arial" w:cs="Arial"/>
          <w:i/>
          <w:sz w:val="24"/>
          <w:szCs w:val="24"/>
        </w:rPr>
        <w:t>acepta</w:t>
      </w:r>
      <w:r w:rsidRPr="00E665ED">
        <w:rPr>
          <w:rFonts w:ascii="Arial" w:hAnsi="Arial" w:cs="Arial"/>
          <w:sz w:val="24"/>
          <w:szCs w:val="24"/>
        </w:rPr>
        <w:t xml:space="preserve"> como parte de su sistema de prestigio, y las integra a su servicio en la corporación universitaria en función de las disposiciones masculinas. De alguna manera, por su constitución jerárquica de adherencia al mandato de masculinidad, la universidad exhibe su propia potencia al visibilizar, incluso </w:t>
      </w:r>
      <w:r w:rsidRPr="00E665ED">
        <w:rPr>
          <w:rFonts w:ascii="Arial" w:hAnsi="Arial" w:cs="Arial"/>
          <w:i/>
          <w:sz w:val="24"/>
          <w:szCs w:val="24"/>
        </w:rPr>
        <w:t>espectacularizar</w:t>
      </w:r>
      <w:r w:rsidRPr="00E665ED">
        <w:rPr>
          <w:rFonts w:ascii="Arial" w:hAnsi="Arial" w:cs="Arial"/>
          <w:sz w:val="24"/>
          <w:szCs w:val="24"/>
        </w:rPr>
        <w:t xml:space="preserve">, a las mujeres docentes. En estos mecanismos, la institución ejerce un poder extractivista hacia el cuerpo y el trabajo de las mujeres en las IES. </w:t>
      </w:r>
    </w:p>
    <w:p w14:paraId="32DC8E6D" w14:textId="77777777" w:rsidR="00E665ED" w:rsidRPr="00E665ED" w:rsidRDefault="00E665ED" w:rsidP="000F3BBB">
      <w:pPr>
        <w:spacing w:after="0" w:line="240" w:lineRule="auto"/>
        <w:ind w:firstLine="425"/>
        <w:contextualSpacing/>
        <w:jc w:val="both"/>
        <w:rPr>
          <w:rFonts w:ascii="Arial" w:hAnsi="Arial" w:cs="Arial"/>
          <w:sz w:val="24"/>
          <w:szCs w:val="24"/>
        </w:rPr>
      </w:pPr>
      <w:r w:rsidRPr="00E665ED">
        <w:rPr>
          <w:rFonts w:ascii="Arial" w:hAnsi="Arial" w:cs="Arial"/>
          <w:sz w:val="24"/>
          <w:szCs w:val="24"/>
        </w:rPr>
        <w:t xml:space="preserve">Las IES expolian el cuerpo y la simbología feminista, como una manera de evidenciar la institucionalización de la visión de género y la visibilidad que el organismo les otorga o les concede. La universidad se apropia de la imagen de las mujeres universitarias como un producto más de la organización masculina en un ámbito jerárquico patriarcalizado, pues las mujeres son visibilizadas a partir de la mirada y la disposición institucional masculina, y no en función de la propia decisión de las mujeres o de la manera en cómo desean manifestarse, identificarse, nombrarse como universitarias. Son cuerpos, imágenes, rostros, presencias de mujeres que son cooptados, </w:t>
      </w:r>
      <w:r w:rsidRPr="00E665ED">
        <w:rPr>
          <w:rFonts w:ascii="Arial" w:hAnsi="Arial" w:cs="Arial"/>
          <w:i/>
          <w:sz w:val="24"/>
          <w:szCs w:val="24"/>
        </w:rPr>
        <w:t>adueñados</w:t>
      </w:r>
      <w:r w:rsidRPr="00E665ED">
        <w:rPr>
          <w:rFonts w:ascii="Arial" w:hAnsi="Arial" w:cs="Arial"/>
          <w:sz w:val="24"/>
          <w:szCs w:val="24"/>
        </w:rPr>
        <w:t>, que se modelan y modulan conforme al arbitrio del corporativo institucional, de las jerarquías y del prestigio académico. Aquí vale la pena subrayar lo expresado por Lagarde (2018, p. 183): “hay que señalar que nuestro trabajo, nuestra capacidad creadora, todos los bienes materiales y simbólicos que producimos las mujeres nos son expropiados”.</w:t>
      </w:r>
    </w:p>
    <w:p w14:paraId="5250C955" w14:textId="77777777" w:rsidR="00E665ED" w:rsidRPr="00E665ED" w:rsidRDefault="00E665ED" w:rsidP="000F3BBB">
      <w:pPr>
        <w:spacing w:after="0" w:line="240" w:lineRule="auto"/>
        <w:ind w:firstLine="425"/>
        <w:contextualSpacing/>
        <w:jc w:val="both"/>
        <w:rPr>
          <w:rFonts w:ascii="Arial" w:hAnsi="Arial" w:cs="Arial"/>
          <w:sz w:val="24"/>
          <w:szCs w:val="24"/>
        </w:rPr>
      </w:pPr>
      <w:r w:rsidRPr="00E665ED">
        <w:rPr>
          <w:rFonts w:ascii="Arial" w:hAnsi="Arial" w:cs="Arial"/>
          <w:sz w:val="24"/>
          <w:szCs w:val="24"/>
        </w:rPr>
        <w:t xml:space="preserve">El ejercicio masculino del poder en las IES, arrebaña la presencia y la fuerza productiva de las mujeres a cambio de darles cierta visibilidad u otorgarles cargos, funciones de “poder”; pero éste no se ejerce conforme a otras maneras de organización provenientes del pensar y hacer de las mujeres en otros espacios no públicos. No es la realización de la “politicidad en clave femenina” (Segato, 2016), sino que el poder y la conformación estructural regida por el mandato de masculinidad que se acciona en las IES, permanece inalterable. La presencia de las mujeres en puestos de “liderazgo”, participa en la validación y legitimación del poder institucional masculino, del sistema de prestigio académico, incluso aunque esos puestos sean para atender las demandas de bienestar, de no exclusión y de apoyo a las víctimas de violencia en las IES. Pero no son las mujeres quienes realmente ejercen dicho poder a partir de ellas mismas, sino que se transforman en legitimadoras del mandato de masculinidad, en espejos que devuelven </w:t>
      </w:r>
      <w:r w:rsidRPr="00E665ED">
        <w:rPr>
          <w:rFonts w:ascii="Arial" w:hAnsi="Arial" w:cs="Arial"/>
          <w:sz w:val="24"/>
          <w:szCs w:val="24"/>
        </w:rPr>
        <w:lastRenderedPageBreak/>
        <w:t xml:space="preserve">engrandecida la figura institucional patriarcal, pues les ha dado cabida en su interior para salvaguardar el poder de la propia institución. </w:t>
      </w:r>
    </w:p>
    <w:p w14:paraId="0048A4A3" w14:textId="77777777" w:rsidR="00E665ED" w:rsidRPr="00E665ED" w:rsidRDefault="00E665ED" w:rsidP="000F3BBB">
      <w:pPr>
        <w:spacing w:after="0" w:line="240" w:lineRule="auto"/>
        <w:ind w:firstLine="425"/>
        <w:contextualSpacing/>
        <w:jc w:val="both"/>
        <w:rPr>
          <w:rFonts w:ascii="Arial" w:hAnsi="Arial" w:cs="Arial"/>
          <w:sz w:val="24"/>
          <w:szCs w:val="24"/>
        </w:rPr>
      </w:pPr>
      <w:r w:rsidRPr="00E665ED">
        <w:rPr>
          <w:rFonts w:ascii="Arial" w:hAnsi="Arial" w:cs="Arial"/>
          <w:sz w:val="24"/>
          <w:szCs w:val="24"/>
        </w:rPr>
        <w:t>Siguiendo a Rubin (1996), puede entenderse, en parte, la situación de las mujeres en las IES, como producto de determinadas relaciones que las convierten en “mujeres universitarias” (concretamente las docentes/investigadoras) insertas en áreas de conocimiento o profesional específicas, bajo un sistema de control y dominio. El sistema de prestigio de las IES, hace “circular” a sus mujeres docentes/investigadoras (conforme a Rubin, en una política económica del sexo), moldea e institucionaliza a esas mujeres revistiéndolas de patriarcalidad. Para ello es necesario apropiarse de sus cuerpos, domesticar e institucionalizar las demandas feministas, apoderarse de sus símbolos para digerirlos como supuestas representaciones, extraer valor de su fuerza de trabajo para reforzar el sistema de prestigio sexo-genérico en las IES, así como apuntalar y validar el mandato de masculinidad que las rige.</w:t>
      </w:r>
    </w:p>
    <w:p w14:paraId="7DE0C41F" w14:textId="77777777" w:rsidR="00E665ED" w:rsidRPr="00E665ED" w:rsidRDefault="00E665ED" w:rsidP="000F3BBB">
      <w:pPr>
        <w:spacing w:after="0" w:line="240" w:lineRule="auto"/>
        <w:contextualSpacing/>
        <w:jc w:val="both"/>
        <w:rPr>
          <w:rFonts w:ascii="Arial" w:hAnsi="Arial" w:cs="Arial"/>
          <w:sz w:val="24"/>
          <w:szCs w:val="24"/>
        </w:rPr>
      </w:pPr>
    </w:p>
    <w:p w14:paraId="32D0E156" w14:textId="77777777" w:rsidR="00E665ED" w:rsidRPr="00E665ED" w:rsidRDefault="00E665ED" w:rsidP="000F3BBB">
      <w:pPr>
        <w:spacing w:after="0" w:line="240" w:lineRule="auto"/>
        <w:contextualSpacing/>
        <w:jc w:val="both"/>
        <w:rPr>
          <w:rFonts w:ascii="Arial" w:hAnsi="Arial" w:cs="Arial"/>
          <w:sz w:val="24"/>
          <w:szCs w:val="24"/>
        </w:rPr>
      </w:pPr>
    </w:p>
    <w:p w14:paraId="12615CB6" w14:textId="77777777" w:rsidR="00E665ED" w:rsidRPr="00E665ED" w:rsidRDefault="00E665ED" w:rsidP="000F3BBB">
      <w:pPr>
        <w:spacing w:after="0" w:line="240" w:lineRule="auto"/>
        <w:rPr>
          <w:rFonts w:ascii="Arial" w:eastAsia="Arial" w:hAnsi="Arial" w:cs="Arial"/>
          <w:b/>
          <w:sz w:val="24"/>
          <w:szCs w:val="24"/>
          <w:lang w:eastAsia="es-MX"/>
        </w:rPr>
      </w:pPr>
      <w:r w:rsidRPr="00E665ED">
        <w:rPr>
          <w:rFonts w:ascii="Arial" w:eastAsia="Arial" w:hAnsi="Arial" w:cs="Arial"/>
          <w:b/>
          <w:sz w:val="24"/>
          <w:szCs w:val="24"/>
          <w:lang w:eastAsia="es-MX"/>
        </w:rPr>
        <w:t>Apuntes finales</w:t>
      </w:r>
    </w:p>
    <w:p w14:paraId="3C2E7BFF" w14:textId="77777777" w:rsidR="00E665ED" w:rsidRPr="00E665ED" w:rsidRDefault="00E665ED" w:rsidP="000F3BBB">
      <w:pPr>
        <w:spacing w:after="0" w:line="240" w:lineRule="auto"/>
        <w:contextualSpacing/>
        <w:jc w:val="both"/>
        <w:rPr>
          <w:rFonts w:ascii="Arial" w:hAnsi="Arial" w:cs="Arial"/>
          <w:sz w:val="24"/>
          <w:szCs w:val="24"/>
        </w:rPr>
      </w:pPr>
    </w:p>
    <w:p w14:paraId="5E57C338" w14:textId="77777777" w:rsidR="00E665ED" w:rsidRPr="00E665ED" w:rsidRDefault="00E665ED" w:rsidP="000F3BBB">
      <w:pPr>
        <w:spacing w:after="0" w:line="240" w:lineRule="auto"/>
        <w:contextualSpacing/>
        <w:jc w:val="both"/>
        <w:rPr>
          <w:rFonts w:ascii="Arial" w:hAnsi="Arial" w:cs="Arial"/>
          <w:sz w:val="24"/>
          <w:szCs w:val="24"/>
        </w:rPr>
      </w:pPr>
      <w:r w:rsidRPr="00E665ED">
        <w:rPr>
          <w:rFonts w:ascii="Arial" w:hAnsi="Arial" w:cs="Arial"/>
          <w:sz w:val="24"/>
          <w:szCs w:val="24"/>
        </w:rPr>
        <w:t>Para Segato (2018), las personas transitamos continuamente, de manera simultánea, en dos formas contradictorias de entender e insertarse en las prácticas cotidianas y en la perspectiva de futuro. Esto significa llevar una “vida anfibia” entre el “proyecto histórico del capital y el proyecto histórico de los vínculos”. En las IES, las académicas parecen no poder apartarse del proyecto histórico de las cosas: la acreditación y reafirmación institucional; y alejarse del proyecto histórico de los vínculos, que son las formas de organización e interacción distintas y diversas que las aglutinen en la horizontalidad, al margen de la directriz institucional. El feminismo académico parece bregar, por un lado, entre el campo burocrático administrativo universitario, el de los protocolos y defensorías, y, por otra parte, el de la simpatía hacia el activismo feminista de mujeres estudiantes.</w:t>
      </w:r>
    </w:p>
    <w:p w14:paraId="67E93686" w14:textId="77777777" w:rsidR="00E665ED" w:rsidRPr="00E665ED" w:rsidRDefault="00E665ED" w:rsidP="000F3BBB">
      <w:pPr>
        <w:spacing w:after="0" w:line="240" w:lineRule="auto"/>
        <w:ind w:firstLine="425"/>
        <w:contextualSpacing/>
        <w:jc w:val="both"/>
        <w:rPr>
          <w:rFonts w:ascii="Arial" w:hAnsi="Arial" w:cs="Arial"/>
          <w:sz w:val="24"/>
          <w:szCs w:val="24"/>
        </w:rPr>
      </w:pPr>
      <w:r w:rsidRPr="00E665ED">
        <w:rPr>
          <w:rFonts w:ascii="Arial" w:hAnsi="Arial" w:cs="Arial"/>
          <w:sz w:val="24"/>
          <w:szCs w:val="24"/>
        </w:rPr>
        <w:t xml:space="preserve">Las problemáticas de las mujeres en las universidades, sobre todo las que se refieren a las violencias, son entendidas por la institución como formas de atención a las </w:t>
      </w:r>
      <w:r w:rsidRPr="00E665ED">
        <w:rPr>
          <w:rFonts w:ascii="Arial" w:hAnsi="Arial" w:cs="Arial"/>
          <w:i/>
          <w:sz w:val="24"/>
          <w:szCs w:val="24"/>
        </w:rPr>
        <w:t>minorías</w:t>
      </w:r>
      <w:r w:rsidRPr="00E665ED">
        <w:rPr>
          <w:rFonts w:ascii="Arial" w:hAnsi="Arial" w:cs="Arial"/>
          <w:sz w:val="24"/>
          <w:szCs w:val="24"/>
        </w:rPr>
        <w:t>. Situaciones de violencia como el acoso sexual siguen interpretándose como casos aislados, procederes acotados y particulares, y no como prácticas sistemáticas que forman parte de la violencia institucional normalizada que rige toda la dinámica cotidiana en las universidades.</w:t>
      </w:r>
    </w:p>
    <w:p w14:paraId="78DDA431" w14:textId="77777777" w:rsidR="00E665ED" w:rsidRPr="00E665ED" w:rsidRDefault="00E665ED" w:rsidP="000F3BBB">
      <w:pPr>
        <w:spacing w:after="0" w:line="240" w:lineRule="auto"/>
        <w:ind w:firstLine="425"/>
        <w:contextualSpacing/>
        <w:jc w:val="both"/>
        <w:rPr>
          <w:rFonts w:ascii="Arial" w:hAnsi="Arial" w:cs="Arial"/>
          <w:sz w:val="24"/>
          <w:szCs w:val="24"/>
        </w:rPr>
      </w:pPr>
      <w:r w:rsidRPr="00E665ED">
        <w:rPr>
          <w:rFonts w:ascii="Arial" w:hAnsi="Arial" w:cs="Arial"/>
          <w:sz w:val="24"/>
          <w:szCs w:val="24"/>
        </w:rPr>
        <w:t>Es un panorama complejo y contradictorio. En algunas conferencias, Segato (2018) ha manifestado que las mujeres “estamos en todos los discursos”, pero que, no obstante, esta presencia discursiva extendida, eso no aminora, no reduce y ni siquiera controla o detiene la violencia contra las mujeres en ninguno de los campos sociales. El mecanismo institucional de regulación de las violencias contra las mujeres instaurado en las IES, debe contemplar, de manera urgente, la complejidad y basamentos simbólicos, de internalización y normalización del mandato de masculinidad, de control de la vida universitaria con la entronización de jerarquías excluyentes, y de captura y sometimiento del cuerpo de las mujeres, que subyace y sostiene toda la estructura universitaria.</w:t>
      </w:r>
    </w:p>
    <w:p w14:paraId="69F0F31E" w14:textId="77777777" w:rsidR="00E665ED" w:rsidRPr="00E665ED" w:rsidRDefault="00E665ED" w:rsidP="000F3BBB">
      <w:pPr>
        <w:spacing w:after="0" w:line="240" w:lineRule="auto"/>
        <w:contextualSpacing/>
        <w:jc w:val="both"/>
        <w:rPr>
          <w:rFonts w:ascii="Arial" w:hAnsi="Arial" w:cs="Arial"/>
          <w:sz w:val="24"/>
          <w:szCs w:val="24"/>
        </w:rPr>
      </w:pPr>
    </w:p>
    <w:p w14:paraId="5BABC7E6" w14:textId="77777777" w:rsidR="00E665ED" w:rsidRPr="00E665ED" w:rsidRDefault="00E665ED" w:rsidP="000F3BBB">
      <w:pPr>
        <w:spacing w:after="0" w:line="240" w:lineRule="auto"/>
        <w:contextualSpacing/>
        <w:jc w:val="both"/>
        <w:rPr>
          <w:rFonts w:ascii="Arial" w:hAnsi="Arial" w:cs="Arial"/>
          <w:sz w:val="24"/>
          <w:szCs w:val="24"/>
        </w:rPr>
      </w:pPr>
    </w:p>
    <w:p w14:paraId="6820A203" w14:textId="77777777" w:rsidR="00E665ED" w:rsidRPr="00E665ED" w:rsidRDefault="00E665ED" w:rsidP="000F3BBB">
      <w:pPr>
        <w:spacing w:after="0" w:line="240" w:lineRule="auto"/>
        <w:contextualSpacing/>
        <w:rPr>
          <w:rFonts w:ascii="Arial" w:eastAsia="Arial" w:hAnsi="Arial" w:cs="Arial"/>
          <w:b/>
          <w:sz w:val="24"/>
          <w:szCs w:val="24"/>
          <w:lang w:eastAsia="es-MX"/>
        </w:rPr>
      </w:pPr>
      <w:r w:rsidRPr="00E665ED">
        <w:rPr>
          <w:rFonts w:ascii="Arial" w:eastAsia="Arial" w:hAnsi="Arial" w:cs="Arial"/>
          <w:b/>
          <w:sz w:val="24"/>
          <w:szCs w:val="24"/>
          <w:lang w:eastAsia="es-MX"/>
        </w:rPr>
        <w:t>Referencias</w:t>
      </w:r>
    </w:p>
    <w:p w14:paraId="46F436AA" w14:textId="77777777" w:rsidR="00E665ED" w:rsidRPr="00E665ED" w:rsidRDefault="00E665ED" w:rsidP="000F3BBB">
      <w:pPr>
        <w:spacing w:after="0" w:line="240" w:lineRule="auto"/>
        <w:contextualSpacing/>
        <w:jc w:val="both"/>
        <w:rPr>
          <w:rFonts w:ascii="Arial" w:hAnsi="Arial" w:cs="Arial"/>
          <w:sz w:val="24"/>
          <w:szCs w:val="24"/>
        </w:rPr>
      </w:pPr>
    </w:p>
    <w:p w14:paraId="21E1EEFA" w14:textId="77777777" w:rsidR="00E665ED" w:rsidRPr="00E665ED" w:rsidRDefault="00E665ED" w:rsidP="000F3BBB">
      <w:pPr>
        <w:spacing w:after="0" w:line="240" w:lineRule="auto"/>
        <w:ind w:left="425" w:hanging="425"/>
        <w:contextualSpacing/>
        <w:jc w:val="both"/>
        <w:rPr>
          <w:rFonts w:ascii="Arial" w:hAnsi="Arial" w:cs="Arial"/>
          <w:sz w:val="24"/>
          <w:szCs w:val="24"/>
        </w:rPr>
      </w:pPr>
      <w:r w:rsidRPr="00E665ED">
        <w:rPr>
          <w:rFonts w:ascii="Arial" w:hAnsi="Arial" w:cs="Arial"/>
          <w:sz w:val="24"/>
          <w:szCs w:val="24"/>
        </w:rPr>
        <w:t xml:space="preserve">Barrancos, D. (2020). </w:t>
      </w:r>
      <w:r w:rsidRPr="00E665ED">
        <w:rPr>
          <w:rFonts w:ascii="Arial" w:hAnsi="Arial" w:cs="Arial"/>
          <w:i/>
          <w:sz w:val="24"/>
          <w:szCs w:val="24"/>
        </w:rPr>
        <w:t xml:space="preserve">Los feminismos en América Latina. </w:t>
      </w:r>
      <w:r w:rsidRPr="00E665ED">
        <w:rPr>
          <w:rFonts w:ascii="Arial" w:hAnsi="Arial" w:cs="Arial"/>
          <w:sz w:val="24"/>
          <w:szCs w:val="24"/>
        </w:rPr>
        <w:t>COLMEX.</w:t>
      </w:r>
    </w:p>
    <w:p w14:paraId="7399B0C7" w14:textId="77777777" w:rsidR="00E665ED" w:rsidRPr="00E665ED" w:rsidRDefault="00E665ED" w:rsidP="000F3BBB">
      <w:pPr>
        <w:spacing w:after="0" w:line="240" w:lineRule="auto"/>
        <w:ind w:left="425" w:hanging="425"/>
        <w:contextualSpacing/>
        <w:jc w:val="both"/>
        <w:rPr>
          <w:rFonts w:ascii="Arial" w:hAnsi="Arial" w:cs="Arial"/>
          <w:sz w:val="24"/>
          <w:szCs w:val="24"/>
          <w:lang w:val="pt-BR"/>
        </w:rPr>
      </w:pPr>
      <w:r w:rsidRPr="00E665ED">
        <w:rPr>
          <w:rFonts w:ascii="Arial" w:hAnsi="Arial" w:cs="Arial"/>
          <w:sz w:val="24"/>
          <w:szCs w:val="24"/>
        </w:rPr>
        <w:lastRenderedPageBreak/>
        <w:t xml:space="preserve">Bourdieu, P. (2000). </w:t>
      </w:r>
      <w:r w:rsidRPr="00E665ED">
        <w:rPr>
          <w:rFonts w:ascii="Arial" w:hAnsi="Arial" w:cs="Arial"/>
          <w:i/>
          <w:sz w:val="24"/>
          <w:szCs w:val="24"/>
        </w:rPr>
        <w:t>La dominación masculina.</w:t>
      </w:r>
      <w:r w:rsidRPr="00E665ED">
        <w:rPr>
          <w:rFonts w:ascii="Arial" w:hAnsi="Arial" w:cs="Arial"/>
          <w:sz w:val="24"/>
          <w:szCs w:val="24"/>
        </w:rPr>
        <w:t xml:space="preserve"> </w:t>
      </w:r>
      <w:r w:rsidRPr="00E665ED">
        <w:rPr>
          <w:rFonts w:ascii="Arial" w:hAnsi="Arial" w:cs="Arial"/>
          <w:sz w:val="24"/>
          <w:szCs w:val="24"/>
          <w:lang w:val="pt-BR"/>
        </w:rPr>
        <w:t>Anagrama.</w:t>
      </w:r>
    </w:p>
    <w:p w14:paraId="6A1FB8D4" w14:textId="77777777" w:rsidR="00E665ED" w:rsidRPr="00E665ED" w:rsidRDefault="00E665ED" w:rsidP="000F3BBB">
      <w:pPr>
        <w:spacing w:after="0" w:line="240" w:lineRule="auto"/>
        <w:ind w:left="425" w:hanging="425"/>
        <w:contextualSpacing/>
        <w:jc w:val="both"/>
        <w:rPr>
          <w:rFonts w:ascii="Arial" w:hAnsi="Arial" w:cs="Arial"/>
          <w:sz w:val="24"/>
          <w:szCs w:val="24"/>
        </w:rPr>
      </w:pPr>
      <w:r w:rsidRPr="00E665ED">
        <w:rPr>
          <w:rFonts w:ascii="Arial" w:hAnsi="Arial" w:cs="Arial"/>
          <w:sz w:val="24"/>
          <w:szCs w:val="24"/>
        </w:rPr>
        <w:t>Buquet, A., Cooper, J., Mingo, A., y Moreno, H.</w:t>
      </w:r>
      <w:r w:rsidRPr="00E665ED">
        <w:rPr>
          <w:rFonts w:ascii="Arial" w:hAnsi="Arial" w:cs="Arial"/>
          <w:i/>
          <w:sz w:val="24"/>
          <w:szCs w:val="24"/>
        </w:rPr>
        <w:t xml:space="preserve"> </w:t>
      </w:r>
      <w:r w:rsidRPr="00E665ED">
        <w:rPr>
          <w:rFonts w:ascii="Arial" w:hAnsi="Arial" w:cs="Arial"/>
          <w:sz w:val="24"/>
          <w:szCs w:val="24"/>
        </w:rPr>
        <w:t xml:space="preserve">(2013). </w:t>
      </w:r>
      <w:r w:rsidRPr="00E665ED">
        <w:rPr>
          <w:rFonts w:ascii="Arial" w:hAnsi="Arial" w:cs="Arial"/>
          <w:i/>
          <w:sz w:val="24"/>
          <w:szCs w:val="24"/>
        </w:rPr>
        <w:t>Intrusas en la universidad.</w:t>
      </w:r>
      <w:r w:rsidRPr="00E665ED">
        <w:rPr>
          <w:rFonts w:ascii="Arial" w:hAnsi="Arial" w:cs="Arial"/>
          <w:sz w:val="24"/>
          <w:szCs w:val="24"/>
        </w:rPr>
        <w:t xml:space="preserve"> UNAM-PUEG.</w:t>
      </w:r>
    </w:p>
    <w:p w14:paraId="5E0284A4" w14:textId="77777777" w:rsidR="00E665ED" w:rsidRPr="00E665ED" w:rsidRDefault="00E665ED" w:rsidP="000F3BBB">
      <w:pPr>
        <w:spacing w:after="0" w:line="240" w:lineRule="auto"/>
        <w:ind w:left="425" w:hanging="425"/>
        <w:contextualSpacing/>
        <w:jc w:val="both"/>
        <w:rPr>
          <w:rFonts w:ascii="Arial" w:hAnsi="Arial" w:cs="Arial"/>
          <w:sz w:val="24"/>
          <w:szCs w:val="24"/>
        </w:rPr>
      </w:pPr>
      <w:r w:rsidRPr="00E665ED">
        <w:rPr>
          <w:rFonts w:ascii="Arial" w:hAnsi="Arial" w:cs="Arial"/>
          <w:sz w:val="24"/>
          <w:szCs w:val="24"/>
        </w:rPr>
        <w:t xml:space="preserve">Lagarde, M. (2014). </w:t>
      </w:r>
      <w:r w:rsidRPr="00E665ED">
        <w:rPr>
          <w:rFonts w:ascii="Arial" w:hAnsi="Arial" w:cs="Arial"/>
          <w:i/>
          <w:sz w:val="24"/>
          <w:szCs w:val="24"/>
        </w:rPr>
        <w:t xml:space="preserve">Los cautiverios de las mujeres. Madresposas, monjas, putas, presas y locas. </w:t>
      </w:r>
      <w:r w:rsidRPr="00E665ED">
        <w:rPr>
          <w:rFonts w:ascii="Arial" w:hAnsi="Arial" w:cs="Arial"/>
          <w:sz w:val="24"/>
          <w:szCs w:val="24"/>
        </w:rPr>
        <w:t>Siglo XXI, UNAM.</w:t>
      </w:r>
    </w:p>
    <w:p w14:paraId="21A76970" w14:textId="77777777" w:rsidR="00E665ED" w:rsidRPr="00E665ED" w:rsidRDefault="00E665ED" w:rsidP="000F3BBB">
      <w:pPr>
        <w:spacing w:after="0" w:line="240" w:lineRule="auto"/>
        <w:ind w:left="425" w:hanging="425"/>
        <w:contextualSpacing/>
        <w:jc w:val="both"/>
        <w:rPr>
          <w:rFonts w:ascii="Arial" w:hAnsi="Arial" w:cs="Arial"/>
          <w:sz w:val="24"/>
          <w:szCs w:val="24"/>
        </w:rPr>
      </w:pPr>
      <w:r w:rsidRPr="00E665ED">
        <w:rPr>
          <w:rFonts w:ascii="Arial" w:hAnsi="Arial" w:cs="Arial"/>
          <w:sz w:val="24"/>
          <w:szCs w:val="24"/>
        </w:rPr>
        <w:t xml:space="preserve">Lagarde, M. (2018). </w:t>
      </w:r>
      <w:r w:rsidRPr="00E665ED">
        <w:rPr>
          <w:rFonts w:ascii="Arial" w:hAnsi="Arial" w:cs="Arial"/>
          <w:i/>
          <w:sz w:val="24"/>
          <w:szCs w:val="24"/>
        </w:rPr>
        <w:t>Claves feministas para mis socias de la vida.</w:t>
      </w:r>
      <w:r w:rsidRPr="00E665ED">
        <w:rPr>
          <w:rFonts w:ascii="Arial" w:hAnsi="Arial" w:cs="Arial"/>
          <w:sz w:val="24"/>
          <w:szCs w:val="24"/>
        </w:rPr>
        <w:t xml:space="preserve"> Batalla de Ideas.</w:t>
      </w:r>
    </w:p>
    <w:p w14:paraId="2E84A9B5" w14:textId="309B2254" w:rsidR="00E665ED" w:rsidRPr="00E665ED" w:rsidRDefault="00E665ED" w:rsidP="000F3BBB">
      <w:pPr>
        <w:spacing w:after="0" w:line="240" w:lineRule="auto"/>
        <w:ind w:left="425" w:hanging="425"/>
        <w:contextualSpacing/>
        <w:jc w:val="both"/>
        <w:rPr>
          <w:rFonts w:ascii="Arial" w:hAnsi="Arial" w:cs="Arial"/>
          <w:sz w:val="24"/>
          <w:szCs w:val="24"/>
        </w:rPr>
      </w:pPr>
      <w:r w:rsidRPr="00E665ED">
        <w:rPr>
          <w:rFonts w:ascii="Arial" w:hAnsi="Arial" w:cs="Arial"/>
          <w:sz w:val="24"/>
          <w:szCs w:val="24"/>
        </w:rPr>
        <w:t xml:space="preserve">Martínez, C. (2017). </w:t>
      </w:r>
      <w:r w:rsidRPr="00E665ED">
        <w:rPr>
          <w:rFonts w:ascii="Arial" w:hAnsi="Arial" w:cs="Arial"/>
          <w:i/>
          <w:sz w:val="24"/>
          <w:szCs w:val="24"/>
        </w:rPr>
        <w:t xml:space="preserve">Las </w:t>
      </w:r>
      <w:r w:rsidR="0081137F">
        <w:rPr>
          <w:rFonts w:ascii="Arial" w:hAnsi="Arial" w:cs="Arial"/>
          <w:i/>
          <w:sz w:val="24"/>
          <w:szCs w:val="24"/>
        </w:rPr>
        <w:t>instituciones</w:t>
      </w:r>
      <w:r w:rsidRPr="00E665ED">
        <w:rPr>
          <w:rFonts w:ascii="Arial" w:hAnsi="Arial" w:cs="Arial"/>
          <w:i/>
          <w:sz w:val="24"/>
          <w:szCs w:val="24"/>
        </w:rPr>
        <w:t xml:space="preserve"> de </w:t>
      </w:r>
      <w:r w:rsidR="0081137F">
        <w:rPr>
          <w:rFonts w:ascii="Arial" w:hAnsi="Arial" w:cs="Arial"/>
          <w:i/>
          <w:sz w:val="24"/>
          <w:szCs w:val="24"/>
        </w:rPr>
        <w:t>educación</w:t>
      </w:r>
      <w:r w:rsidRPr="00E665ED">
        <w:rPr>
          <w:rFonts w:ascii="Arial" w:hAnsi="Arial" w:cs="Arial"/>
          <w:i/>
          <w:sz w:val="24"/>
          <w:szCs w:val="24"/>
        </w:rPr>
        <w:t xml:space="preserve"> </w:t>
      </w:r>
      <w:r w:rsidR="0081137F">
        <w:rPr>
          <w:rFonts w:ascii="Arial" w:hAnsi="Arial" w:cs="Arial"/>
          <w:i/>
          <w:sz w:val="24"/>
          <w:szCs w:val="24"/>
        </w:rPr>
        <w:t>superior</w:t>
      </w:r>
      <w:r w:rsidRPr="00E665ED">
        <w:rPr>
          <w:rFonts w:ascii="Arial" w:hAnsi="Arial" w:cs="Arial"/>
          <w:i/>
          <w:sz w:val="24"/>
          <w:szCs w:val="24"/>
        </w:rPr>
        <w:t xml:space="preserve"> y la violencia de género.</w:t>
      </w:r>
      <w:r w:rsidRPr="00E665ED">
        <w:rPr>
          <w:rFonts w:ascii="Arial" w:hAnsi="Arial" w:cs="Arial"/>
          <w:sz w:val="24"/>
          <w:szCs w:val="24"/>
        </w:rPr>
        <w:t xml:space="preserve"> UASLP, Ediciones Eón.</w:t>
      </w:r>
    </w:p>
    <w:p w14:paraId="326F4B30" w14:textId="3086B31F" w:rsidR="00E665ED" w:rsidRPr="00E665ED" w:rsidRDefault="00E665ED" w:rsidP="000F3BBB">
      <w:pPr>
        <w:spacing w:after="0" w:line="240" w:lineRule="auto"/>
        <w:ind w:left="425" w:hanging="425"/>
        <w:contextualSpacing/>
        <w:jc w:val="both"/>
        <w:rPr>
          <w:rFonts w:ascii="Arial" w:hAnsi="Arial" w:cs="Arial"/>
          <w:sz w:val="24"/>
          <w:szCs w:val="24"/>
        </w:rPr>
      </w:pPr>
      <w:r w:rsidRPr="00E665ED">
        <w:rPr>
          <w:rFonts w:ascii="Arial" w:hAnsi="Arial" w:cs="Arial"/>
          <w:sz w:val="24"/>
          <w:szCs w:val="24"/>
        </w:rPr>
        <w:t xml:space="preserve">Martínez, C. (2019). Las </w:t>
      </w:r>
      <w:r w:rsidR="0081137F">
        <w:rPr>
          <w:rFonts w:ascii="Arial" w:hAnsi="Arial" w:cs="Arial"/>
          <w:sz w:val="24"/>
          <w:szCs w:val="24"/>
        </w:rPr>
        <w:t>instituciones</w:t>
      </w:r>
      <w:r w:rsidRPr="00E665ED">
        <w:rPr>
          <w:rFonts w:ascii="Arial" w:hAnsi="Arial" w:cs="Arial"/>
          <w:sz w:val="24"/>
          <w:szCs w:val="24"/>
        </w:rPr>
        <w:t xml:space="preserve"> de </w:t>
      </w:r>
      <w:r w:rsidR="0081137F">
        <w:rPr>
          <w:rFonts w:ascii="Arial" w:hAnsi="Arial" w:cs="Arial"/>
          <w:sz w:val="24"/>
          <w:szCs w:val="24"/>
        </w:rPr>
        <w:t>educación</w:t>
      </w:r>
      <w:r w:rsidRPr="00E665ED">
        <w:rPr>
          <w:rFonts w:ascii="Arial" w:hAnsi="Arial" w:cs="Arial"/>
          <w:sz w:val="24"/>
          <w:szCs w:val="24"/>
        </w:rPr>
        <w:t xml:space="preserve"> superior y el mandato de masculinidad. </w:t>
      </w:r>
      <w:r w:rsidRPr="00E665ED">
        <w:rPr>
          <w:rFonts w:ascii="Arial" w:hAnsi="Arial" w:cs="Arial"/>
          <w:i/>
          <w:sz w:val="24"/>
          <w:szCs w:val="24"/>
        </w:rPr>
        <w:t xml:space="preserve">Nómadas. Revista de Ciencias Sociales 51, </w:t>
      </w:r>
      <w:r w:rsidRPr="00E665ED">
        <w:rPr>
          <w:rFonts w:ascii="Arial" w:hAnsi="Arial" w:cs="Arial"/>
          <w:sz w:val="24"/>
          <w:szCs w:val="24"/>
        </w:rPr>
        <w:t xml:space="preserve">117-133. </w:t>
      </w:r>
      <w:hyperlink r:id="rId10" w:history="1">
        <w:r w:rsidRPr="00E665ED">
          <w:rPr>
            <w:rStyle w:val="Hipervnculo"/>
            <w:rFonts w:ascii="Arial" w:hAnsi="Arial" w:cs="Arial"/>
            <w:sz w:val="24"/>
            <w:szCs w:val="24"/>
          </w:rPr>
          <w:t>https://editorial.ucentral.edu.co/ojs_uc/index.php/nomadas/article/view/2838/2791</w:t>
        </w:r>
      </w:hyperlink>
      <w:r w:rsidRPr="00E665ED">
        <w:rPr>
          <w:rFonts w:ascii="Arial" w:hAnsi="Arial" w:cs="Arial"/>
          <w:sz w:val="24"/>
          <w:szCs w:val="24"/>
        </w:rPr>
        <w:t xml:space="preserve"> </w:t>
      </w:r>
    </w:p>
    <w:p w14:paraId="72A44062" w14:textId="1FA8A238" w:rsidR="00E665ED" w:rsidRPr="00E665ED" w:rsidRDefault="00E665ED" w:rsidP="000F3BBB">
      <w:pPr>
        <w:spacing w:after="0" w:line="240" w:lineRule="auto"/>
        <w:ind w:left="425" w:hanging="425"/>
        <w:contextualSpacing/>
        <w:jc w:val="both"/>
        <w:rPr>
          <w:rFonts w:ascii="Arial" w:hAnsi="Arial" w:cs="Arial"/>
          <w:sz w:val="24"/>
          <w:szCs w:val="24"/>
        </w:rPr>
      </w:pPr>
      <w:r w:rsidRPr="00E665ED">
        <w:rPr>
          <w:rFonts w:ascii="Arial" w:hAnsi="Arial" w:cs="Arial"/>
          <w:sz w:val="24"/>
          <w:szCs w:val="24"/>
        </w:rPr>
        <w:t xml:space="preserve">Rubin, G. (1996). El tráfico de mujeres: notas sobre la “economía política” del sexo. En, Marta Lamas (comp.), </w:t>
      </w:r>
      <w:r w:rsidRPr="00E665ED">
        <w:rPr>
          <w:rFonts w:ascii="Arial" w:hAnsi="Arial" w:cs="Arial"/>
          <w:i/>
          <w:sz w:val="24"/>
          <w:szCs w:val="24"/>
        </w:rPr>
        <w:t xml:space="preserve">El </w:t>
      </w:r>
      <w:r w:rsidR="0081137F">
        <w:rPr>
          <w:rFonts w:ascii="Arial" w:hAnsi="Arial" w:cs="Arial"/>
          <w:i/>
          <w:sz w:val="24"/>
          <w:szCs w:val="24"/>
        </w:rPr>
        <w:t>g</w:t>
      </w:r>
      <w:r w:rsidRPr="00E665ED">
        <w:rPr>
          <w:rFonts w:ascii="Arial" w:hAnsi="Arial" w:cs="Arial"/>
          <w:i/>
          <w:sz w:val="24"/>
          <w:szCs w:val="24"/>
        </w:rPr>
        <w:t>énero. La construcción cultural de la diferencia sexual</w:t>
      </w:r>
      <w:r w:rsidRPr="00E665ED">
        <w:rPr>
          <w:rFonts w:ascii="Arial" w:hAnsi="Arial" w:cs="Arial"/>
          <w:sz w:val="24"/>
          <w:szCs w:val="24"/>
        </w:rPr>
        <w:t xml:space="preserve"> (pp. 35-96). UNAM-PUEG, Miguel Ángel Porrúa.</w:t>
      </w:r>
    </w:p>
    <w:p w14:paraId="2246E88A" w14:textId="77777777" w:rsidR="00E665ED" w:rsidRPr="00E665ED" w:rsidRDefault="00E665ED" w:rsidP="000F3BBB">
      <w:pPr>
        <w:spacing w:after="0" w:line="240" w:lineRule="auto"/>
        <w:ind w:left="425" w:hanging="425"/>
        <w:contextualSpacing/>
        <w:jc w:val="both"/>
        <w:rPr>
          <w:rFonts w:ascii="Arial" w:hAnsi="Arial" w:cs="Arial"/>
          <w:sz w:val="24"/>
          <w:szCs w:val="24"/>
        </w:rPr>
      </w:pPr>
      <w:r w:rsidRPr="00E665ED">
        <w:rPr>
          <w:rFonts w:ascii="Arial" w:hAnsi="Arial" w:cs="Arial"/>
          <w:sz w:val="24"/>
          <w:szCs w:val="24"/>
        </w:rPr>
        <w:t xml:space="preserve">Segato, R. (2010). </w:t>
      </w:r>
      <w:r w:rsidRPr="00E665ED">
        <w:rPr>
          <w:rFonts w:ascii="Arial" w:hAnsi="Arial" w:cs="Arial"/>
          <w:i/>
          <w:sz w:val="24"/>
          <w:szCs w:val="24"/>
        </w:rPr>
        <w:t>Las estructuras elementales de la violencia. Ensayos sobre género entre la antropología, el psicoanálisis y los derechos humanos.</w:t>
      </w:r>
      <w:r w:rsidRPr="00E665ED">
        <w:rPr>
          <w:rFonts w:ascii="Arial" w:hAnsi="Arial" w:cs="Arial"/>
          <w:sz w:val="24"/>
          <w:szCs w:val="24"/>
        </w:rPr>
        <w:t xml:space="preserve"> Prometeo.</w:t>
      </w:r>
    </w:p>
    <w:p w14:paraId="1553B035" w14:textId="77777777" w:rsidR="00E665ED" w:rsidRPr="00E665ED" w:rsidRDefault="00E665ED" w:rsidP="000F3BBB">
      <w:pPr>
        <w:spacing w:after="0" w:line="240" w:lineRule="auto"/>
        <w:ind w:left="425" w:hanging="425"/>
        <w:contextualSpacing/>
        <w:jc w:val="both"/>
        <w:rPr>
          <w:rFonts w:ascii="Arial" w:hAnsi="Arial" w:cs="Arial"/>
          <w:sz w:val="24"/>
          <w:szCs w:val="24"/>
        </w:rPr>
      </w:pPr>
      <w:r w:rsidRPr="00E665ED">
        <w:rPr>
          <w:rFonts w:ascii="Arial" w:hAnsi="Arial" w:cs="Arial"/>
          <w:sz w:val="24"/>
          <w:szCs w:val="24"/>
        </w:rPr>
        <w:t xml:space="preserve">Segato, R. (2016). </w:t>
      </w:r>
      <w:r w:rsidRPr="00E665ED">
        <w:rPr>
          <w:rFonts w:ascii="Arial" w:hAnsi="Arial" w:cs="Arial"/>
          <w:i/>
          <w:sz w:val="24"/>
          <w:szCs w:val="24"/>
        </w:rPr>
        <w:t>La guerra contra las mujeres.</w:t>
      </w:r>
      <w:r w:rsidRPr="00E665ED">
        <w:rPr>
          <w:rFonts w:ascii="Arial" w:hAnsi="Arial" w:cs="Arial"/>
          <w:sz w:val="24"/>
          <w:szCs w:val="24"/>
        </w:rPr>
        <w:t xml:space="preserve"> Traficantes de sueños.</w:t>
      </w:r>
    </w:p>
    <w:p w14:paraId="469B8BF7" w14:textId="77777777" w:rsidR="00E665ED" w:rsidRPr="00E665ED" w:rsidRDefault="00E665ED" w:rsidP="000F3BBB">
      <w:pPr>
        <w:spacing w:after="0" w:line="240" w:lineRule="auto"/>
        <w:ind w:left="425" w:hanging="425"/>
        <w:contextualSpacing/>
        <w:jc w:val="both"/>
        <w:rPr>
          <w:rFonts w:ascii="Arial" w:hAnsi="Arial" w:cs="Arial"/>
          <w:sz w:val="24"/>
          <w:szCs w:val="24"/>
        </w:rPr>
      </w:pPr>
      <w:r w:rsidRPr="00E665ED">
        <w:rPr>
          <w:rFonts w:ascii="Arial" w:hAnsi="Arial" w:cs="Arial"/>
          <w:sz w:val="24"/>
          <w:szCs w:val="24"/>
        </w:rPr>
        <w:t xml:space="preserve">Segato, R. (2018). </w:t>
      </w:r>
      <w:r w:rsidRPr="00E665ED">
        <w:rPr>
          <w:rFonts w:ascii="Arial" w:hAnsi="Arial" w:cs="Arial"/>
          <w:i/>
          <w:sz w:val="24"/>
          <w:szCs w:val="24"/>
        </w:rPr>
        <w:t>Contra-pedagogías de la crueldad.</w:t>
      </w:r>
      <w:r w:rsidRPr="00E665ED">
        <w:rPr>
          <w:rFonts w:ascii="Arial" w:hAnsi="Arial" w:cs="Arial"/>
          <w:sz w:val="24"/>
          <w:szCs w:val="24"/>
        </w:rPr>
        <w:t xml:space="preserve"> Prometeo.</w:t>
      </w:r>
    </w:p>
    <w:p w14:paraId="58554ABC" w14:textId="77777777" w:rsidR="00E665ED" w:rsidRPr="00E665ED" w:rsidRDefault="00E665ED" w:rsidP="000F3BBB">
      <w:pPr>
        <w:spacing w:after="0" w:line="240" w:lineRule="auto"/>
        <w:rPr>
          <w:rFonts w:ascii="Arial" w:hAnsi="Arial" w:cs="Arial"/>
          <w:sz w:val="24"/>
          <w:szCs w:val="24"/>
        </w:rPr>
      </w:pPr>
    </w:p>
    <w:p w14:paraId="5B20FD7D" w14:textId="77777777" w:rsidR="00E665ED" w:rsidRPr="00E665ED" w:rsidRDefault="00E665ED" w:rsidP="000F3BBB">
      <w:pPr>
        <w:spacing w:after="0" w:line="240" w:lineRule="auto"/>
        <w:rPr>
          <w:rFonts w:ascii="Arial" w:hAnsi="Arial" w:cs="Arial"/>
          <w:sz w:val="24"/>
          <w:szCs w:val="24"/>
        </w:rPr>
      </w:pPr>
    </w:p>
    <w:p w14:paraId="1BA99388" w14:textId="77777777" w:rsidR="00E665ED" w:rsidRPr="00E665ED" w:rsidRDefault="00E665ED" w:rsidP="000F3BBB">
      <w:pPr>
        <w:spacing w:after="0" w:line="240" w:lineRule="auto"/>
        <w:rPr>
          <w:rFonts w:ascii="Arial" w:hAnsi="Arial" w:cs="Arial"/>
          <w:sz w:val="24"/>
          <w:szCs w:val="24"/>
        </w:rPr>
      </w:pPr>
    </w:p>
    <w:p w14:paraId="538D8A31" w14:textId="77777777" w:rsidR="00E665ED" w:rsidRPr="00E665ED" w:rsidRDefault="00E665ED" w:rsidP="000F3BBB">
      <w:pPr>
        <w:spacing w:after="0" w:line="240" w:lineRule="auto"/>
        <w:rPr>
          <w:rFonts w:ascii="Arial" w:hAnsi="Arial" w:cs="Arial"/>
          <w:sz w:val="24"/>
          <w:szCs w:val="24"/>
        </w:rPr>
      </w:pPr>
    </w:p>
    <w:p w14:paraId="77FB6612" w14:textId="77777777" w:rsidR="00E665ED" w:rsidRPr="00E665ED" w:rsidRDefault="00E665ED" w:rsidP="000F3BBB">
      <w:pPr>
        <w:spacing w:after="0" w:line="240" w:lineRule="auto"/>
        <w:rPr>
          <w:rFonts w:ascii="Arial" w:hAnsi="Arial" w:cs="Arial"/>
          <w:sz w:val="24"/>
          <w:szCs w:val="24"/>
        </w:rPr>
      </w:pPr>
    </w:p>
    <w:p w14:paraId="0276F789" w14:textId="77777777" w:rsidR="00173A7A" w:rsidRPr="00E665ED" w:rsidRDefault="00173A7A" w:rsidP="000F3BBB">
      <w:pPr>
        <w:spacing w:after="0" w:line="240" w:lineRule="auto"/>
        <w:jc w:val="both"/>
        <w:rPr>
          <w:rFonts w:ascii="Arial" w:hAnsi="Arial" w:cs="Arial"/>
          <w:sz w:val="24"/>
          <w:szCs w:val="24"/>
        </w:rPr>
      </w:pPr>
    </w:p>
    <w:p w14:paraId="2902FA5E" w14:textId="77777777" w:rsidR="00173A7A" w:rsidRPr="00E665ED" w:rsidRDefault="00173A7A" w:rsidP="000F3BBB">
      <w:pPr>
        <w:spacing w:after="0" w:line="240" w:lineRule="auto"/>
        <w:contextualSpacing/>
        <w:jc w:val="both"/>
        <w:rPr>
          <w:rFonts w:ascii="Arial" w:hAnsi="Arial" w:cs="Arial"/>
          <w:sz w:val="24"/>
          <w:szCs w:val="24"/>
          <w:lang w:val="es-ES"/>
        </w:rPr>
      </w:pPr>
    </w:p>
    <w:p w14:paraId="4902BC0E" w14:textId="77777777" w:rsidR="00E23E8C" w:rsidRPr="00E665ED" w:rsidRDefault="00E23E8C" w:rsidP="000F3BBB">
      <w:pPr>
        <w:spacing w:after="0" w:line="240" w:lineRule="auto"/>
        <w:rPr>
          <w:rFonts w:ascii="Arial" w:hAnsi="Arial" w:cs="Arial"/>
        </w:rPr>
      </w:pPr>
    </w:p>
    <w:sectPr w:rsidR="00E23E8C" w:rsidRPr="00E665ED" w:rsidSect="00AA44CA">
      <w:pgSz w:w="12240" w:h="15840" w:code="119"/>
      <w:pgMar w:top="1418" w:right="1418" w:bottom="1418"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German Alejandro García Lara" w:date="2026-07-01T15:18:00Z" w:initials="GG">
    <w:p w14:paraId="2B53DFCA" w14:textId="2FF9268C" w:rsidR="00E665ED" w:rsidRDefault="00E665ED">
      <w:pPr>
        <w:pStyle w:val="Textocomentario"/>
      </w:pPr>
      <w:r>
        <w:rPr>
          <w:rStyle w:val="Refdecomentario"/>
        </w:rPr>
        <w:annotationRef/>
      </w:r>
      <w:r w:rsidR="00000000">
        <w:rPr>
          <w:noProof/>
        </w:rPr>
        <w:t>Tamaño de letra 12</w:t>
      </w:r>
      <w:r w:rsidR="00000000">
        <w:rPr>
          <w:noProof/>
        </w:rPr>
        <w:t xml:space="preserve">, </w:t>
      </w:r>
      <w:r w:rsidR="00000000">
        <w:rPr>
          <w:noProof/>
        </w:rPr>
        <w:t xml:space="preserve">rectas y </w:t>
      </w:r>
      <w:r w:rsidR="00000000">
        <w:rPr>
          <w:noProof/>
        </w:rPr>
        <w:t>centrado</w:t>
      </w:r>
    </w:p>
  </w:comment>
  <w:comment w:id="1" w:author="German Alejandro García Lara" w:date="2026-07-01T15:18:00Z" w:initials="GG">
    <w:p w14:paraId="6669DB77" w14:textId="6AB15954" w:rsidR="00E665ED" w:rsidRDefault="00E665ED">
      <w:pPr>
        <w:pStyle w:val="Textocomentario"/>
      </w:pPr>
      <w:r>
        <w:rPr>
          <w:rStyle w:val="Refdecomentario"/>
        </w:rPr>
        <w:annotationRef/>
      </w:r>
      <w:r w:rsidR="00000000">
        <w:rPr>
          <w:noProof/>
        </w:rPr>
        <w:t xml:space="preserve">Tamaño de letra 16, </w:t>
      </w:r>
      <w:r w:rsidR="00000000">
        <w:rPr>
          <w:noProof/>
        </w:rPr>
        <w:t xml:space="preserve">rectas y </w:t>
      </w:r>
      <w:r w:rsidR="00000000">
        <w:rPr>
          <w:noProof/>
        </w:rPr>
        <w:t>centrado</w:t>
      </w:r>
    </w:p>
  </w:comment>
  <w:comment w:id="2" w:author="German Alejandro García Lara" w:date="2026-07-01T15:19:00Z" w:initials="GG">
    <w:p w14:paraId="05221BBD" w14:textId="29D2BF6E" w:rsidR="00E665ED" w:rsidRDefault="00E665ED">
      <w:pPr>
        <w:pStyle w:val="Textocomentario"/>
      </w:pPr>
      <w:r>
        <w:rPr>
          <w:rStyle w:val="Refdecomentario"/>
        </w:rPr>
        <w:annotationRef/>
      </w:r>
      <w:r w:rsidR="00000000">
        <w:rPr>
          <w:noProof/>
        </w:rPr>
        <w:t xml:space="preserve">Tamaño de letra 12, </w:t>
      </w:r>
      <w:r w:rsidR="00000000">
        <w:rPr>
          <w:noProof/>
        </w:rPr>
        <w:t>en cursivas</w:t>
      </w:r>
      <w:r w:rsidR="00000000">
        <w:rPr>
          <w:noProof/>
        </w:rPr>
        <w:t>,</w:t>
      </w:r>
      <w:r w:rsidR="00000000">
        <w:rPr>
          <w:noProof/>
        </w:rPr>
        <w:t xml:space="preserve"> </w:t>
      </w:r>
      <w:r w:rsidR="00000000">
        <w:rPr>
          <w:noProof/>
        </w:rPr>
        <w:t>centrado</w:t>
      </w:r>
    </w:p>
  </w:comment>
  <w:comment w:id="3" w:author="German Alejandro García Lara" w:date="2026-07-01T16:53:00Z" w:initials="GG">
    <w:p w14:paraId="559D4069" w14:textId="08A38FEB" w:rsidR="0081137F" w:rsidRDefault="0081137F">
      <w:pPr>
        <w:pStyle w:val="Textocomentario"/>
      </w:pPr>
      <w:r>
        <w:rPr>
          <w:rStyle w:val="Refdecomentario"/>
        </w:rPr>
        <w:annotationRef/>
      </w:r>
      <w:r w:rsidR="00000000">
        <w:rPr>
          <w:noProof/>
        </w:rPr>
        <w:t>Los títu</w:t>
      </w:r>
      <w:r w:rsidR="00000000">
        <w:rPr>
          <w:noProof/>
        </w:rPr>
        <w:t>los de cada apartado</w:t>
      </w:r>
      <w:r w:rsidR="00000000">
        <w:rPr>
          <w:noProof/>
        </w:rPr>
        <w:t xml:space="preserve">, </w:t>
      </w:r>
      <w:r w:rsidR="00000000">
        <w:rPr>
          <w:noProof/>
        </w:rPr>
        <w:t>en negritas y rectas</w:t>
      </w:r>
    </w:p>
  </w:comment>
  <w:comment w:id="4" w:author="German Alejandro García Lara" w:date="2026-07-01T16:58:00Z" w:initials="GG">
    <w:p w14:paraId="432C1CA3" w14:textId="17F044E3" w:rsidR="0081137F" w:rsidRDefault="0081137F">
      <w:pPr>
        <w:pStyle w:val="Textocomentario"/>
      </w:pPr>
      <w:r>
        <w:rPr>
          <w:rStyle w:val="Refdecomentario"/>
        </w:rPr>
        <w:annotationRef/>
      </w:r>
      <w:r w:rsidR="00000000">
        <w:rPr>
          <w:noProof/>
        </w:rPr>
        <w:t>El primer párrafo después de un apartado sin m</w:t>
      </w:r>
      <w:r w:rsidR="00000000">
        <w:rPr>
          <w:noProof/>
        </w:rPr>
        <w:t xml:space="preserve">argen. Los subsecuentes, con margen de </w:t>
      </w:r>
      <w:r w:rsidR="00000000">
        <w:rPr>
          <w:noProof/>
        </w:rPr>
        <w:t>0</w:t>
      </w:r>
      <w:r w:rsidR="00000000">
        <w:rPr>
          <w:noProof/>
        </w:rPr>
        <w:t>.75</w:t>
      </w:r>
    </w:p>
  </w:comment>
  <w:comment w:id="5" w:author="German Alejandro García Lara" w:date="2026-07-01T16:59:00Z" w:initials="GG">
    <w:p w14:paraId="51451E5B" w14:textId="74F68F8C" w:rsidR="0081137F" w:rsidRDefault="0081137F">
      <w:pPr>
        <w:pStyle w:val="Textocomentario"/>
      </w:pPr>
      <w:r>
        <w:rPr>
          <w:rStyle w:val="Refdecomentario"/>
        </w:rPr>
        <w:annotationRef/>
      </w:r>
      <w:r w:rsidR="00000000">
        <w:rPr>
          <w:noProof/>
        </w:rPr>
        <w:t xml:space="preserve">Los subtítulos </w:t>
      </w:r>
      <w:r w:rsidR="00000000">
        <w:rPr>
          <w:noProof/>
        </w:rPr>
        <w:t>en</w:t>
      </w:r>
      <w:r w:rsidR="00000000">
        <w:rPr>
          <w:noProof/>
        </w:rPr>
        <w:t xml:space="preserve"> cursivas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B53DFCA" w15:done="0"/>
  <w15:commentEx w15:paraId="6669DB77" w15:done="0"/>
  <w15:commentEx w15:paraId="05221BBD" w15:done="0"/>
  <w15:commentEx w15:paraId="559D4069" w15:done="0"/>
  <w15:commentEx w15:paraId="432C1CA3" w15:done="0"/>
  <w15:commentEx w15:paraId="51451E5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3D7FF31" w16cex:dateUtc="2026-07-01T21:18:00Z"/>
  <w16cex:commentExtensible w16cex:durableId="66795778" w16cex:dateUtc="2026-07-01T21:18:00Z"/>
  <w16cex:commentExtensible w16cex:durableId="0CCDD2E6" w16cex:dateUtc="2026-07-01T21:19:00Z"/>
  <w16cex:commentExtensible w16cex:durableId="5E307878" w16cex:dateUtc="2026-07-01T22:53:00Z"/>
  <w16cex:commentExtensible w16cex:durableId="0C567B9B" w16cex:dateUtc="2026-07-01T22:58:00Z"/>
  <w16cex:commentExtensible w16cex:durableId="4F73FF5F" w16cex:dateUtc="2026-07-01T22: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B53DFCA" w16cid:durableId="23D7FF31"/>
  <w16cid:commentId w16cid:paraId="6669DB77" w16cid:durableId="66795778"/>
  <w16cid:commentId w16cid:paraId="05221BBD" w16cid:durableId="0CCDD2E6"/>
  <w16cid:commentId w16cid:paraId="559D4069" w16cid:durableId="5E307878"/>
  <w16cid:commentId w16cid:paraId="432C1CA3" w16cid:durableId="0C567B9B"/>
  <w16cid:commentId w16cid:paraId="51451E5B" w16cid:durableId="4F73FF5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77894" w14:textId="77777777" w:rsidR="00C30370" w:rsidRDefault="00C30370" w:rsidP="00E665ED">
      <w:pPr>
        <w:spacing w:after="0" w:line="240" w:lineRule="auto"/>
      </w:pPr>
      <w:r>
        <w:separator/>
      </w:r>
    </w:p>
  </w:endnote>
  <w:endnote w:type="continuationSeparator" w:id="0">
    <w:p w14:paraId="10993CD2" w14:textId="77777777" w:rsidR="00C30370" w:rsidRDefault="00C30370" w:rsidP="00E665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5B670" w14:textId="77777777" w:rsidR="00C30370" w:rsidRDefault="00C30370" w:rsidP="00E665ED">
      <w:pPr>
        <w:spacing w:after="0" w:line="240" w:lineRule="auto"/>
      </w:pPr>
      <w:r>
        <w:separator/>
      </w:r>
    </w:p>
  </w:footnote>
  <w:footnote w:type="continuationSeparator" w:id="0">
    <w:p w14:paraId="4DBDDE3F" w14:textId="77777777" w:rsidR="00C30370" w:rsidRDefault="00C30370" w:rsidP="00E665ED">
      <w:pPr>
        <w:spacing w:after="0" w:line="240" w:lineRule="auto"/>
      </w:pPr>
      <w:r>
        <w:continuationSeparator/>
      </w:r>
    </w:p>
  </w:footnote>
  <w:footnote w:id="1">
    <w:p w14:paraId="0287AC71" w14:textId="77777777" w:rsidR="00E665ED" w:rsidRPr="0081137F" w:rsidRDefault="00E665ED" w:rsidP="00E665ED">
      <w:pPr>
        <w:pStyle w:val="Textonotapie"/>
        <w:ind w:left="142" w:hanging="142"/>
        <w:jc w:val="both"/>
        <w:rPr>
          <w:rFonts w:ascii="Arial" w:hAnsi="Arial" w:cs="Arial"/>
          <w:lang w:val="es-MX"/>
        </w:rPr>
      </w:pPr>
      <w:r w:rsidRPr="0081137F">
        <w:rPr>
          <w:rStyle w:val="Refdenotaalpie"/>
          <w:rFonts w:ascii="Arial" w:hAnsi="Arial" w:cs="Arial"/>
        </w:rPr>
        <w:footnoteRef/>
      </w:r>
      <w:r w:rsidRPr="0081137F">
        <w:rPr>
          <w:rFonts w:ascii="Arial" w:hAnsi="Arial" w:cs="Arial"/>
          <w:lang w:val="es-MX"/>
        </w:rPr>
        <w:t xml:space="preserve"> La primera fase de la investigación se realizó entre 2014 y 2016, con el nombre de: </w:t>
      </w:r>
      <w:r w:rsidRPr="0081137F">
        <w:rPr>
          <w:rFonts w:ascii="Arial" w:hAnsi="Arial" w:cs="Arial"/>
          <w:i/>
          <w:lang w:val="es-MX"/>
        </w:rPr>
        <w:t xml:space="preserve">Análisis y diagnóstico cualitativo de las significaciones, vivencias e interpretaciones de la violencia de género en universidades públicas, privadas, confesionales e indígenas de San Luis Potosí, </w:t>
      </w:r>
      <w:r w:rsidRPr="0081137F">
        <w:rPr>
          <w:rFonts w:ascii="Arial" w:hAnsi="Arial" w:cs="Arial"/>
          <w:lang w:val="es-MX"/>
        </w:rPr>
        <w:t>que en su momento contó con el financiamiento del Consejo Nacional de Ciencia y Tecnología (número de proyecto: 197060). Lo que aquí se presenta, constituye la continuación de ese primer estudio.</w:t>
      </w:r>
    </w:p>
  </w:footnote>
  <w:footnote w:id="2">
    <w:p w14:paraId="29EF0DBF" w14:textId="77777777" w:rsidR="00E665ED" w:rsidRPr="00AE31F4" w:rsidRDefault="00E665ED" w:rsidP="00E665ED">
      <w:pPr>
        <w:pStyle w:val="Textonotapie"/>
        <w:ind w:left="142" w:hanging="142"/>
        <w:jc w:val="both"/>
        <w:rPr>
          <w:rFonts w:ascii="Baskerville Old Face" w:hAnsi="Baskerville Old Face"/>
          <w:lang w:val="es-MX"/>
        </w:rPr>
      </w:pPr>
      <w:r w:rsidRPr="00B421DF">
        <w:rPr>
          <w:rStyle w:val="Refdenotaalpie"/>
          <w:rFonts w:ascii="Baskerville Old Face" w:hAnsi="Baskerville Old Face"/>
        </w:rPr>
        <w:footnoteRef/>
      </w:r>
      <w:r w:rsidRPr="00AE31F4">
        <w:rPr>
          <w:rFonts w:ascii="Baskerville Old Face" w:hAnsi="Baskerville Old Face"/>
          <w:lang w:val="es-MX"/>
        </w:rPr>
        <w:t xml:space="preserve"> Segato (2018) establece una tipología de las violencias: “seis son los tipos de potencia que he conseguido identificar: sexual, bélica, política, económica, intelectual y moral” (p. 44). </w:t>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erman Alejandro García Lara">
    <w15:presenceInfo w15:providerId="Windows Live" w15:userId="45eab58dc2b73e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4CA"/>
    <w:rsid w:val="00024FC3"/>
    <w:rsid w:val="000C2C00"/>
    <w:rsid w:val="000F3BBB"/>
    <w:rsid w:val="00173A7A"/>
    <w:rsid w:val="00307B78"/>
    <w:rsid w:val="004F59F8"/>
    <w:rsid w:val="00645248"/>
    <w:rsid w:val="007D4BDB"/>
    <w:rsid w:val="0081137F"/>
    <w:rsid w:val="00826645"/>
    <w:rsid w:val="008E43D1"/>
    <w:rsid w:val="00AA44CA"/>
    <w:rsid w:val="00B45E3E"/>
    <w:rsid w:val="00C132A6"/>
    <w:rsid w:val="00C30370"/>
    <w:rsid w:val="00CA6016"/>
    <w:rsid w:val="00DF1E9E"/>
    <w:rsid w:val="00E23E8C"/>
    <w:rsid w:val="00E665ED"/>
    <w:rsid w:val="00F35A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33412"/>
  <w15:chartTrackingRefBased/>
  <w15:docId w15:val="{892882DB-2D9F-439A-A20B-6D7EC19AA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44CA"/>
    <w:rPr>
      <w:rFonts w:ascii="Calibri" w:eastAsia="Calibri" w:hAnsi="Calibri" w:cs="Times New Roman"/>
      <w:kern w:val="0"/>
      <w14:ligatures w14:val="none"/>
    </w:rPr>
  </w:style>
  <w:style w:type="paragraph" w:styleId="Ttulo1">
    <w:name w:val="heading 1"/>
    <w:basedOn w:val="Normal"/>
    <w:next w:val="Normal"/>
    <w:link w:val="Ttulo1Car"/>
    <w:uiPriority w:val="9"/>
    <w:qFormat/>
    <w:rsid w:val="00AA44CA"/>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tulo2">
    <w:name w:val="heading 2"/>
    <w:basedOn w:val="Normal"/>
    <w:next w:val="Normal"/>
    <w:link w:val="Ttulo2Car"/>
    <w:uiPriority w:val="9"/>
    <w:semiHidden/>
    <w:unhideWhenUsed/>
    <w:qFormat/>
    <w:rsid w:val="00AA44CA"/>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tulo3">
    <w:name w:val="heading 3"/>
    <w:basedOn w:val="Normal"/>
    <w:next w:val="Normal"/>
    <w:link w:val="Ttulo3Car"/>
    <w:uiPriority w:val="9"/>
    <w:semiHidden/>
    <w:unhideWhenUsed/>
    <w:qFormat/>
    <w:rsid w:val="00AA44CA"/>
    <w:pPr>
      <w:keepNext/>
      <w:keepLines/>
      <w:spacing w:before="160" w:after="80"/>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AA44CA"/>
    <w:pPr>
      <w:keepNext/>
      <w:keepLines/>
      <w:spacing w:before="80" w:after="40"/>
      <w:outlineLvl w:val="3"/>
    </w:pPr>
    <w:rPr>
      <w:rFonts w:asciiTheme="minorHAnsi" w:eastAsiaTheme="majorEastAsia" w:hAnsiTheme="minorHAnsi" w:cstheme="majorBidi"/>
      <w:i/>
      <w:iCs/>
      <w:color w:val="2F5496" w:themeColor="accent1" w:themeShade="BF"/>
      <w:kern w:val="2"/>
      <w14:ligatures w14:val="standardContextual"/>
    </w:rPr>
  </w:style>
  <w:style w:type="paragraph" w:styleId="Ttulo5">
    <w:name w:val="heading 5"/>
    <w:basedOn w:val="Normal"/>
    <w:next w:val="Normal"/>
    <w:link w:val="Ttulo5Car"/>
    <w:uiPriority w:val="9"/>
    <w:semiHidden/>
    <w:unhideWhenUsed/>
    <w:qFormat/>
    <w:rsid w:val="00AA44CA"/>
    <w:pPr>
      <w:keepNext/>
      <w:keepLines/>
      <w:spacing w:before="80" w:after="40"/>
      <w:outlineLvl w:val="4"/>
    </w:pPr>
    <w:rPr>
      <w:rFonts w:asciiTheme="minorHAnsi" w:eastAsiaTheme="majorEastAsia" w:hAnsiTheme="minorHAnsi" w:cstheme="majorBidi"/>
      <w:color w:val="2F5496" w:themeColor="accent1" w:themeShade="BF"/>
      <w:kern w:val="2"/>
      <w14:ligatures w14:val="standardContextual"/>
    </w:rPr>
  </w:style>
  <w:style w:type="paragraph" w:styleId="Ttulo6">
    <w:name w:val="heading 6"/>
    <w:basedOn w:val="Normal"/>
    <w:next w:val="Normal"/>
    <w:link w:val="Ttulo6Car"/>
    <w:uiPriority w:val="9"/>
    <w:semiHidden/>
    <w:unhideWhenUsed/>
    <w:qFormat/>
    <w:rsid w:val="00AA44CA"/>
    <w:pPr>
      <w:keepNext/>
      <w:keepLines/>
      <w:spacing w:before="40" w:after="0"/>
      <w:outlineLvl w:val="5"/>
    </w:pPr>
    <w:rPr>
      <w:rFonts w:asciiTheme="minorHAnsi" w:eastAsiaTheme="majorEastAsia" w:hAnsiTheme="minorHAnsi" w:cstheme="majorBidi"/>
      <w:i/>
      <w:iCs/>
      <w:color w:val="595959" w:themeColor="text1" w:themeTint="A6"/>
      <w:kern w:val="2"/>
      <w14:ligatures w14:val="standardContextual"/>
    </w:rPr>
  </w:style>
  <w:style w:type="paragraph" w:styleId="Ttulo7">
    <w:name w:val="heading 7"/>
    <w:basedOn w:val="Normal"/>
    <w:next w:val="Normal"/>
    <w:link w:val="Ttulo7Car"/>
    <w:uiPriority w:val="9"/>
    <w:semiHidden/>
    <w:unhideWhenUsed/>
    <w:qFormat/>
    <w:rsid w:val="00AA44CA"/>
    <w:pPr>
      <w:keepNext/>
      <w:keepLines/>
      <w:spacing w:before="40" w:after="0"/>
      <w:outlineLvl w:val="6"/>
    </w:pPr>
    <w:rPr>
      <w:rFonts w:asciiTheme="minorHAnsi" w:eastAsiaTheme="majorEastAsia" w:hAnsiTheme="minorHAnsi" w:cstheme="majorBidi"/>
      <w:color w:val="595959" w:themeColor="text1" w:themeTint="A6"/>
      <w:kern w:val="2"/>
      <w14:ligatures w14:val="standardContextual"/>
    </w:rPr>
  </w:style>
  <w:style w:type="paragraph" w:styleId="Ttulo8">
    <w:name w:val="heading 8"/>
    <w:basedOn w:val="Normal"/>
    <w:next w:val="Normal"/>
    <w:link w:val="Ttulo8Car"/>
    <w:uiPriority w:val="9"/>
    <w:semiHidden/>
    <w:unhideWhenUsed/>
    <w:qFormat/>
    <w:rsid w:val="00AA44CA"/>
    <w:pPr>
      <w:keepNext/>
      <w:keepLines/>
      <w:spacing w:after="0"/>
      <w:outlineLvl w:val="7"/>
    </w:pPr>
    <w:rPr>
      <w:rFonts w:asciiTheme="minorHAnsi" w:eastAsiaTheme="majorEastAsia" w:hAnsiTheme="minorHAnsi" w:cstheme="majorBidi"/>
      <w:i/>
      <w:iCs/>
      <w:color w:val="272727" w:themeColor="text1" w:themeTint="D8"/>
      <w:kern w:val="2"/>
      <w14:ligatures w14:val="standardContextual"/>
    </w:rPr>
  </w:style>
  <w:style w:type="paragraph" w:styleId="Ttulo9">
    <w:name w:val="heading 9"/>
    <w:basedOn w:val="Normal"/>
    <w:next w:val="Normal"/>
    <w:link w:val="Ttulo9Car"/>
    <w:uiPriority w:val="9"/>
    <w:semiHidden/>
    <w:unhideWhenUsed/>
    <w:qFormat/>
    <w:rsid w:val="00AA44CA"/>
    <w:pPr>
      <w:keepNext/>
      <w:keepLines/>
      <w:spacing w:after="0"/>
      <w:outlineLvl w:val="8"/>
    </w:pPr>
    <w:rPr>
      <w:rFonts w:asciiTheme="minorHAnsi" w:eastAsiaTheme="majorEastAsia" w:hAnsiTheme="minorHAnsi" w:cstheme="majorBidi"/>
      <w:color w:val="272727" w:themeColor="text1" w:themeTint="D8"/>
      <w:kern w:val="2"/>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A44C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AA44C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AA44C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AA44C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AA44CA"/>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AA44C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A44C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A44C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A44CA"/>
    <w:rPr>
      <w:rFonts w:eastAsiaTheme="majorEastAsia" w:cstheme="majorBidi"/>
      <w:color w:val="272727" w:themeColor="text1" w:themeTint="D8"/>
    </w:rPr>
  </w:style>
  <w:style w:type="paragraph" w:styleId="Ttulo">
    <w:name w:val="Title"/>
    <w:basedOn w:val="Normal"/>
    <w:next w:val="Normal"/>
    <w:link w:val="TtuloCar"/>
    <w:uiPriority w:val="10"/>
    <w:qFormat/>
    <w:rsid w:val="00AA44C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AA44C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A44CA"/>
    <w:pPr>
      <w:numPr>
        <w:ilvl w:val="1"/>
      </w:numPr>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AA44C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A44CA"/>
    <w:pPr>
      <w:spacing w:before="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aCar">
    <w:name w:val="Cita Car"/>
    <w:basedOn w:val="Fuentedeprrafopredeter"/>
    <w:link w:val="Cita"/>
    <w:uiPriority w:val="29"/>
    <w:rsid w:val="00AA44CA"/>
    <w:rPr>
      <w:i/>
      <w:iCs/>
      <w:color w:val="404040" w:themeColor="text1" w:themeTint="BF"/>
    </w:rPr>
  </w:style>
  <w:style w:type="paragraph" w:styleId="Prrafodelista">
    <w:name w:val="List Paragraph"/>
    <w:basedOn w:val="Normal"/>
    <w:uiPriority w:val="34"/>
    <w:qFormat/>
    <w:rsid w:val="00AA44CA"/>
    <w:pPr>
      <w:ind w:left="720"/>
      <w:contextualSpacing/>
    </w:pPr>
    <w:rPr>
      <w:rFonts w:asciiTheme="minorHAnsi" w:eastAsiaTheme="minorHAnsi" w:hAnsiTheme="minorHAnsi" w:cstheme="minorBidi"/>
      <w:kern w:val="2"/>
      <w14:ligatures w14:val="standardContextual"/>
    </w:rPr>
  </w:style>
  <w:style w:type="character" w:styleId="nfasisintenso">
    <w:name w:val="Intense Emphasis"/>
    <w:basedOn w:val="Fuentedeprrafopredeter"/>
    <w:uiPriority w:val="21"/>
    <w:qFormat/>
    <w:rsid w:val="00AA44CA"/>
    <w:rPr>
      <w:i/>
      <w:iCs/>
      <w:color w:val="2F5496" w:themeColor="accent1" w:themeShade="BF"/>
    </w:rPr>
  </w:style>
  <w:style w:type="paragraph" w:styleId="Citadestacada">
    <w:name w:val="Intense Quote"/>
    <w:basedOn w:val="Normal"/>
    <w:next w:val="Normal"/>
    <w:link w:val="CitadestacadaCar"/>
    <w:uiPriority w:val="30"/>
    <w:qFormat/>
    <w:rsid w:val="00AA44CA"/>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CitadestacadaCar">
    <w:name w:val="Cita destacada Car"/>
    <w:basedOn w:val="Fuentedeprrafopredeter"/>
    <w:link w:val="Citadestacada"/>
    <w:uiPriority w:val="30"/>
    <w:rsid w:val="00AA44CA"/>
    <w:rPr>
      <w:i/>
      <w:iCs/>
      <w:color w:val="2F5496" w:themeColor="accent1" w:themeShade="BF"/>
    </w:rPr>
  </w:style>
  <w:style w:type="character" w:styleId="Referenciaintensa">
    <w:name w:val="Intense Reference"/>
    <w:basedOn w:val="Fuentedeprrafopredeter"/>
    <w:uiPriority w:val="32"/>
    <w:qFormat/>
    <w:rsid w:val="00AA44CA"/>
    <w:rPr>
      <w:b/>
      <w:bCs/>
      <w:smallCaps/>
      <w:color w:val="2F5496" w:themeColor="accent1" w:themeShade="BF"/>
      <w:spacing w:val="5"/>
    </w:rPr>
  </w:style>
  <w:style w:type="character" w:styleId="Refdecomentario">
    <w:name w:val="annotation reference"/>
    <w:basedOn w:val="Fuentedeprrafopredeter"/>
    <w:uiPriority w:val="99"/>
    <w:semiHidden/>
    <w:unhideWhenUsed/>
    <w:rsid w:val="00AA44CA"/>
    <w:rPr>
      <w:sz w:val="16"/>
      <w:szCs w:val="16"/>
    </w:rPr>
  </w:style>
  <w:style w:type="paragraph" w:styleId="Textocomentario">
    <w:name w:val="annotation text"/>
    <w:basedOn w:val="Normal"/>
    <w:link w:val="TextocomentarioCar"/>
    <w:uiPriority w:val="99"/>
    <w:semiHidden/>
    <w:unhideWhenUsed/>
    <w:rsid w:val="00AA44C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A44CA"/>
    <w:rPr>
      <w:rFonts w:ascii="Calibri" w:eastAsia="Calibri" w:hAnsi="Calibri" w:cs="Times New Roman"/>
      <w:kern w:val="0"/>
      <w:sz w:val="20"/>
      <w:szCs w:val="20"/>
      <w14:ligatures w14:val="none"/>
    </w:rPr>
  </w:style>
  <w:style w:type="paragraph" w:styleId="Asuntodelcomentario">
    <w:name w:val="annotation subject"/>
    <w:basedOn w:val="Textocomentario"/>
    <w:next w:val="Textocomentario"/>
    <w:link w:val="AsuntodelcomentarioCar"/>
    <w:uiPriority w:val="99"/>
    <w:semiHidden/>
    <w:unhideWhenUsed/>
    <w:rsid w:val="00AA44CA"/>
    <w:rPr>
      <w:b/>
      <w:bCs/>
    </w:rPr>
  </w:style>
  <w:style w:type="character" w:customStyle="1" w:styleId="AsuntodelcomentarioCar">
    <w:name w:val="Asunto del comentario Car"/>
    <w:basedOn w:val="TextocomentarioCar"/>
    <w:link w:val="Asuntodelcomentario"/>
    <w:uiPriority w:val="99"/>
    <w:semiHidden/>
    <w:rsid w:val="00AA44CA"/>
    <w:rPr>
      <w:rFonts w:ascii="Calibri" w:eastAsia="Calibri" w:hAnsi="Calibri" w:cs="Times New Roman"/>
      <w:b/>
      <w:bCs/>
      <w:kern w:val="0"/>
      <w:sz w:val="20"/>
      <w:szCs w:val="20"/>
      <w14:ligatures w14:val="none"/>
    </w:rPr>
  </w:style>
  <w:style w:type="paragraph" w:styleId="Revisin">
    <w:name w:val="Revision"/>
    <w:hidden/>
    <w:uiPriority w:val="99"/>
    <w:semiHidden/>
    <w:rsid w:val="00AA44CA"/>
    <w:pPr>
      <w:spacing w:after="0" w:line="240" w:lineRule="auto"/>
    </w:pPr>
    <w:rPr>
      <w:rFonts w:ascii="Calibri" w:eastAsia="Calibri" w:hAnsi="Calibri" w:cs="Times New Roman"/>
      <w:kern w:val="0"/>
      <w14:ligatures w14:val="none"/>
    </w:rPr>
  </w:style>
  <w:style w:type="character" w:styleId="Hipervnculo">
    <w:name w:val="Hyperlink"/>
    <w:basedOn w:val="Fuentedeprrafopredeter"/>
    <w:uiPriority w:val="99"/>
    <w:unhideWhenUsed/>
    <w:rsid w:val="00173A7A"/>
    <w:rPr>
      <w:color w:val="0563C1" w:themeColor="hyperlink"/>
      <w:u w:val="single"/>
    </w:rPr>
  </w:style>
  <w:style w:type="paragraph" w:styleId="Textonotapie">
    <w:name w:val="footnote text"/>
    <w:basedOn w:val="Normal"/>
    <w:link w:val="TextonotapieCar"/>
    <w:uiPriority w:val="99"/>
    <w:unhideWhenUsed/>
    <w:rsid w:val="00E665ED"/>
    <w:pPr>
      <w:spacing w:after="0" w:line="240" w:lineRule="auto"/>
    </w:pPr>
    <w:rPr>
      <w:rFonts w:asciiTheme="minorHAnsi" w:eastAsiaTheme="minorHAnsi" w:hAnsiTheme="minorHAnsi" w:cstheme="minorBidi"/>
      <w:sz w:val="20"/>
      <w:szCs w:val="20"/>
      <w:lang w:val="en-US"/>
    </w:rPr>
  </w:style>
  <w:style w:type="character" w:customStyle="1" w:styleId="TextonotapieCar">
    <w:name w:val="Texto nota pie Car"/>
    <w:basedOn w:val="Fuentedeprrafopredeter"/>
    <w:link w:val="Textonotapie"/>
    <w:uiPriority w:val="99"/>
    <w:rsid w:val="00E665ED"/>
    <w:rPr>
      <w:kern w:val="0"/>
      <w:sz w:val="20"/>
      <w:szCs w:val="20"/>
      <w:lang w:val="en-US"/>
      <w14:ligatures w14:val="none"/>
    </w:rPr>
  </w:style>
  <w:style w:type="character" w:styleId="Refdenotaalpie">
    <w:name w:val="footnote reference"/>
    <w:uiPriority w:val="99"/>
    <w:unhideWhenUsed/>
    <w:rsid w:val="00E665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theme" Target="theme/theme1.xml"/><Relationship Id="rId3" Type="http://schemas.openxmlformats.org/officeDocument/2006/relationships/webSettings" Target="webSettings.xml"/><Relationship Id="rId7" Type="http://schemas.microsoft.com/office/2011/relationships/commentsExtended" Target="commentsExtended.xml"/><Relationship Id="rId12"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s://editorial.ucentral.edu.co/ojs_uc/index.php/nomadas/article/view/2838/2791" TargetMode="External"/><Relationship Id="rId4" Type="http://schemas.openxmlformats.org/officeDocument/2006/relationships/footnotes" Target="footnotes.xml"/><Relationship Id="rId9" Type="http://schemas.microsoft.com/office/2018/08/relationships/commentsExtensible" Target="commentsExtensi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7</Pages>
  <Words>3267</Words>
  <Characters>17973</Characters>
  <Application>Microsoft Office Word</Application>
  <DocSecurity>0</DocSecurity>
  <Lines>149</Lines>
  <Paragraphs>42</Paragraphs>
  <ScaleCrop>false</ScaleCrop>
  <Company/>
  <LinksUpToDate>false</LinksUpToDate>
  <CharactersWithSpaces>21198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German Alejandro García Lara</dc:creator>
  <cp:keywords/>
  <dc:description/>
  <cp:lastModifiedBy>German Alejandro García Lara</cp:lastModifiedBy>
  <cp:revision>9</cp:revision>
  <dcterms:created xsi:type="dcterms:W3CDTF">2026-07-01T20:45:00Z</dcterms:created>
  <dcterms:modified xsi:type="dcterms:W3CDTF">2026-07-01T23:07:00Z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bb67a3a3-8995-447d-babb-09d60512424a</vt:lpwstr>
  </property>
</Properties>
</file>