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DF7E7" w14:textId="77777777" w:rsidR="00087BAC" w:rsidRPr="00087BAC" w:rsidRDefault="00087BAC" w:rsidP="00087BAC">
      <w:pPr>
        <w:pStyle w:val="Default"/>
        <w:jc w:val="center"/>
        <w:rPr>
          <w:color w:val="auto"/>
        </w:rPr>
      </w:pPr>
      <w:r w:rsidRPr="00087BAC">
        <w:rPr>
          <w:color w:val="auto"/>
        </w:rPr>
        <w:t>CAPÍTULO 9</w:t>
      </w:r>
    </w:p>
    <w:p w14:paraId="21CC664F" w14:textId="77777777" w:rsidR="00087BAC" w:rsidRPr="00087BAC" w:rsidRDefault="00087BAC" w:rsidP="00087BAC">
      <w:pPr>
        <w:suppressAutoHyphens/>
        <w:spacing w:after="0" w:line="240" w:lineRule="auto"/>
        <w:jc w:val="center"/>
        <w:rPr>
          <w:rFonts w:ascii="Arial" w:hAnsi="Arial" w:cs="Arial"/>
          <w:sz w:val="24"/>
          <w:szCs w:val="24"/>
        </w:rPr>
      </w:pPr>
    </w:p>
    <w:p w14:paraId="397DB53F" w14:textId="77777777" w:rsidR="00087BAC" w:rsidRPr="00087BAC" w:rsidRDefault="00087BAC" w:rsidP="00087BAC">
      <w:pPr>
        <w:suppressAutoHyphens/>
        <w:spacing w:after="0" w:line="240" w:lineRule="auto"/>
        <w:jc w:val="center"/>
        <w:rPr>
          <w:rFonts w:ascii="Arial" w:hAnsi="Arial" w:cs="Arial"/>
          <w:b/>
          <w:bCs/>
          <w:sz w:val="32"/>
          <w:szCs w:val="32"/>
        </w:rPr>
      </w:pPr>
      <w:r w:rsidRPr="00087BAC">
        <w:rPr>
          <w:rFonts w:ascii="Arial" w:hAnsi="Arial" w:cs="Arial"/>
          <w:b/>
          <w:bCs/>
          <w:sz w:val="32"/>
          <w:szCs w:val="32"/>
        </w:rPr>
        <w:t>La violencia estructural y sus creencias: manifestaciones en jóvenes de San Luis Potosí, México</w:t>
      </w:r>
    </w:p>
    <w:p w14:paraId="269F15D8" w14:textId="77777777" w:rsidR="00087BAC" w:rsidRPr="00087BAC" w:rsidRDefault="00087BAC" w:rsidP="00087BAC">
      <w:pPr>
        <w:suppressAutoHyphens/>
        <w:spacing w:after="0" w:line="240" w:lineRule="auto"/>
        <w:jc w:val="center"/>
        <w:rPr>
          <w:rFonts w:ascii="Arial" w:hAnsi="Arial" w:cs="Arial"/>
          <w:i/>
          <w:iCs/>
          <w:sz w:val="24"/>
          <w:szCs w:val="24"/>
        </w:rPr>
      </w:pPr>
    </w:p>
    <w:p w14:paraId="4015BEC9" w14:textId="77777777" w:rsidR="00087BAC" w:rsidRPr="00087BAC" w:rsidRDefault="00087BAC" w:rsidP="00087BAC">
      <w:pPr>
        <w:suppressAutoHyphens/>
        <w:spacing w:after="0" w:line="240" w:lineRule="auto"/>
        <w:jc w:val="center"/>
        <w:rPr>
          <w:rFonts w:ascii="Arial" w:hAnsi="Arial" w:cs="Arial"/>
          <w:i/>
          <w:iCs/>
          <w:sz w:val="24"/>
          <w:szCs w:val="24"/>
        </w:rPr>
      </w:pPr>
      <w:r w:rsidRPr="00087BAC">
        <w:rPr>
          <w:rFonts w:ascii="Arial" w:hAnsi="Arial" w:cs="Arial"/>
          <w:i/>
          <w:iCs/>
          <w:sz w:val="24"/>
          <w:szCs w:val="24"/>
        </w:rPr>
        <w:t xml:space="preserve">Jaime Sebastián F. Galán Jiménez </w:t>
      </w:r>
    </w:p>
    <w:p w14:paraId="1D44EB28" w14:textId="77777777" w:rsidR="00087BAC" w:rsidRPr="00087BAC" w:rsidRDefault="00087BAC" w:rsidP="00087BAC">
      <w:pPr>
        <w:suppressAutoHyphens/>
        <w:spacing w:after="0" w:line="240" w:lineRule="auto"/>
        <w:jc w:val="center"/>
        <w:rPr>
          <w:rFonts w:ascii="Arial" w:hAnsi="Arial" w:cs="Arial"/>
          <w:i/>
          <w:iCs/>
          <w:sz w:val="24"/>
          <w:szCs w:val="24"/>
        </w:rPr>
      </w:pPr>
      <w:r w:rsidRPr="00087BAC">
        <w:rPr>
          <w:rFonts w:ascii="Arial" w:hAnsi="Arial" w:cs="Arial"/>
          <w:i/>
          <w:iCs/>
          <w:sz w:val="24"/>
          <w:szCs w:val="24"/>
        </w:rPr>
        <w:t>Carolina Olvera Castillo</w:t>
      </w:r>
    </w:p>
    <w:p w14:paraId="77FE119A" w14:textId="77777777" w:rsidR="00087BAC" w:rsidRPr="00087BAC" w:rsidRDefault="00087BAC" w:rsidP="00087BAC">
      <w:pPr>
        <w:suppressAutoHyphens/>
        <w:spacing w:after="0" w:line="240" w:lineRule="auto"/>
        <w:jc w:val="center"/>
        <w:rPr>
          <w:rFonts w:ascii="Arial" w:hAnsi="Arial" w:cs="Arial"/>
          <w:i/>
          <w:iCs/>
          <w:sz w:val="24"/>
          <w:szCs w:val="24"/>
        </w:rPr>
      </w:pPr>
    </w:p>
    <w:p w14:paraId="68F64A5D" w14:textId="77777777" w:rsidR="00087BAC" w:rsidRPr="00087BAC" w:rsidRDefault="00087BAC" w:rsidP="00087BAC">
      <w:pPr>
        <w:suppressAutoHyphens/>
        <w:spacing w:after="0" w:line="240" w:lineRule="auto"/>
        <w:jc w:val="center"/>
        <w:rPr>
          <w:rFonts w:ascii="Arial" w:hAnsi="Arial" w:cs="Arial"/>
          <w:i/>
          <w:iCs/>
          <w:sz w:val="24"/>
          <w:szCs w:val="24"/>
        </w:rPr>
      </w:pPr>
    </w:p>
    <w:p w14:paraId="4B8FB0B8" w14:textId="77777777" w:rsidR="00087BAC" w:rsidRPr="00087BAC" w:rsidRDefault="00087BAC" w:rsidP="00087BAC">
      <w:pPr>
        <w:suppressAutoHyphens/>
        <w:spacing w:after="0" w:line="240" w:lineRule="auto"/>
        <w:jc w:val="center"/>
        <w:rPr>
          <w:rFonts w:ascii="Arial" w:hAnsi="Arial" w:cs="Arial"/>
          <w:i/>
          <w:iCs/>
          <w:sz w:val="24"/>
          <w:szCs w:val="24"/>
        </w:rPr>
      </w:pPr>
    </w:p>
    <w:p w14:paraId="627B6200" w14:textId="77777777" w:rsidR="00087BAC" w:rsidRPr="00087BAC" w:rsidRDefault="00087BAC" w:rsidP="00087BAC">
      <w:pPr>
        <w:suppressAutoHyphens/>
        <w:spacing w:after="0" w:line="240" w:lineRule="auto"/>
        <w:jc w:val="both"/>
        <w:rPr>
          <w:rFonts w:ascii="Arial" w:hAnsi="Arial" w:cs="Arial"/>
          <w:sz w:val="24"/>
          <w:szCs w:val="24"/>
          <w:lang w:val="es-ES"/>
        </w:rPr>
      </w:pPr>
    </w:p>
    <w:p w14:paraId="326B8E11" w14:textId="77777777" w:rsidR="00087BAC" w:rsidRPr="00087BAC" w:rsidRDefault="00087BAC" w:rsidP="00087BAC">
      <w:pPr>
        <w:suppressAutoHyphens/>
        <w:spacing w:after="0" w:line="240" w:lineRule="auto"/>
        <w:jc w:val="both"/>
        <w:rPr>
          <w:rFonts w:ascii="Arial" w:hAnsi="Arial" w:cs="Arial"/>
          <w:b/>
          <w:bCs/>
          <w:sz w:val="24"/>
          <w:szCs w:val="24"/>
        </w:rPr>
      </w:pPr>
      <w:r w:rsidRPr="00087BAC">
        <w:rPr>
          <w:rFonts w:ascii="Arial" w:hAnsi="Arial" w:cs="Arial"/>
          <w:b/>
          <w:bCs/>
          <w:sz w:val="24"/>
          <w:szCs w:val="24"/>
        </w:rPr>
        <w:t>Resumen</w:t>
      </w:r>
    </w:p>
    <w:p w14:paraId="6335E383" w14:textId="77777777" w:rsidR="00087BAC" w:rsidRPr="00087BAC" w:rsidRDefault="00087BAC" w:rsidP="00087BAC">
      <w:pPr>
        <w:suppressAutoHyphens/>
        <w:spacing w:after="0" w:line="240" w:lineRule="auto"/>
        <w:jc w:val="both"/>
        <w:rPr>
          <w:rFonts w:ascii="Arial" w:hAnsi="Arial" w:cs="Arial"/>
          <w:smallCaps/>
          <w:sz w:val="24"/>
          <w:szCs w:val="24"/>
        </w:rPr>
      </w:pPr>
    </w:p>
    <w:p w14:paraId="2566016B" w14:textId="7B604B7B" w:rsidR="00087BAC" w:rsidRPr="00087BAC" w:rsidRDefault="00087BAC" w:rsidP="00087BAC">
      <w:pPr>
        <w:spacing w:after="0" w:line="240" w:lineRule="auto"/>
        <w:contextualSpacing/>
        <w:jc w:val="both"/>
        <w:rPr>
          <w:rFonts w:ascii="Arial" w:eastAsia="Times New Roman" w:hAnsi="Arial" w:cs="Arial"/>
          <w:color w:val="000000" w:themeColor="text1"/>
          <w:sz w:val="24"/>
          <w:szCs w:val="24"/>
          <w:lang w:val="es-419"/>
        </w:rPr>
      </w:pPr>
      <w:r w:rsidRPr="00087BAC">
        <w:rPr>
          <w:rFonts w:ascii="Arial" w:eastAsia="Times New Roman" w:hAnsi="Arial" w:cs="Arial"/>
          <w:color w:val="000000" w:themeColor="text1"/>
          <w:sz w:val="24"/>
          <w:szCs w:val="24"/>
          <w:lang w:val="es-419"/>
        </w:rPr>
        <w:t xml:space="preserve">El objetivo de esta investigación fue conocer las creencias de violencia estructural en jóvenes. La violencia estructural ocurre en la estratificación social, </w:t>
      </w:r>
      <w:r>
        <w:rPr>
          <w:rFonts w:ascii="Arial" w:eastAsia="Times New Roman" w:hAnsi="Arial" w:cs="Arial"/>
          <w:color w:val="000000" w:themeColor="text1"/>
          <w:sz w:val="24"/>
          <w:szCs w:val="24"/>
          <w:lang w:val="es-419"/>
        </w:rPr>
        <w:t>en la injusticia, en la</w:t>
      </w:r>
      <w:r w:rsidRPr="00087BAC">
        <w:rPr>
          <w:rFonts w:ascii="Arial" w:eastAsia="Times New Roman" w:hAnsi="Arial" w:cs="Arial"/>
          <w:color w:val="000000" w:themeColor="text1"/>
          <w:sz w:val="24"/>
          <w:szCs w:val="24"/>
          <w:lang w:val="es-419"/>
        </w:rPr>
        <w:t xml:space="preserve"> desigualdad económica o política, por razones de raza, sexo, así como en la desigualdad de oportunidades. Se trabajó con un diseño analítico transversal comparativo</w:t>
      </w:r>
      <w:bookmarkStart w:id="0" w:name="_Hlk143931576"/>
      <w:r>
        <w:rPr>
          <w:rFonts w:ascii="Arial" w:eastAsia="Times New Roman" w:hAnsi="Arial" w:cs="Arial"/>
          <w:color w:val="000000" w:themeColor="text1"/>
          <w:sz w:val="24"/>
          <w:szCs w:val="24"/>
          <w:lang w:val="es-419"/>
        </w:rPr>
        <w:t>;</w:t>
      </w:r>
      <w:r w:rsidRPr="00087BAC">
        <w:rPr>
          <w:rFonts w:ascii="Arial" w:eastAsia="Times New Roman" w:hAnsi="Arial" w:cs="Arial"/>
          <w:color w:val="000000" w:themeColor="text1"/>
          <w:sz w:val="24"/>
          <w:szCs w:val="24"/>
          <w:lang w:val="es-419"/>
        </w:rPr>
        <w:t xml:space="preserve"> se aplicó la </w:t>
      </w:r>
      <w:r>
        <w:rPr>
          <w:rFonts w:ascii="Arial" w:eastAsia="Times New Roman" w:hAnsi="Arial" w:cs="Arial"/>
          <w:color w:val="000000" w:themeColor="text1"/>
          <w:sz w:val="24"/>
          <w:szCs w:val="24"/>
          <w:lang w:val="es-419"/>
        </w:rPr>
        <w:t>E</w:t>
      </w:r>
      <w:r w:rsidRPr="00087BAC">
        <w:rPr>
          <w:rFonts w:ascii="Arial" w:eastAsia="Times New Roman" w:hAnsi="Arial" w:cs="Arial"/>
          <w:color w:val="000000" w:themeColor="text1"/>
          <w:sz w:val="24"/>
          <w:szCs w:val="24"/>
          <w:lang w:val="es-419"/>
        </w:rPr>
        <w:t xml:space="preserve">scala de creencias de violencia estructural en jóvenes de San Luis Potosí. La muestra </w:t>
      </w:r>
      <w:r>
        <w:rPr>
          <w:rFonts w:ascii="Arial" w:eastAsia="Times New Roman" w:hAnsi="Arial" w:cs="Arial"/>
          <w:color w:val="000000" w:themeColor="text1"/>
          <w:sz w:val="24"/>
          <w:szCs w:val="24"/>
          <w:lang w:val="es-419"/>
        </w:rPr>
        <w:t>estuvo integrada por 877 jóvenes, con una edad media de 16,63 años, provenientes de tres instituciones</w:t>
      </w:r>
      <w:r w:rsidRPr="00087BAC">
        <w:rPr>
          <w:rFonts w:ascii="Arial" w:eastAsia="Times New Roman" w:hAnsi="Arial" w:cs="Arial"/>
          <w:color w:val="000000" w:themeColor="text1"/>
          <w:sz w:val="24"/>
          <w:szCs w:val="24"/>
          <w:lang w:val="es-419"/>
        </w:rPr>
        <w:t xml:space="preserve">. Se </w:t>
      </w:r>
      <w:bookmarkEnd w:id="0"/>
      <w:r w:rsidRPr="00087BAC">
        <w:rPr>
          <w:rFonts w:ascii="Arial" w:eastAsia="Times New Roman" w:hAnsi="Arial" w:cs="Arial"/>
          <w:color w:val="000000" w:themeColor="text1"/>
          <w:sz w:val="24"/>
          <w:szCs w:val="24"/>
          <w:lang w:val="es-419"/>
        </w:rPr>
        <w:t xml:space="preserve">encontró </w:t>
      </w:r>
      <w:r>
        <w:rPr>
          <w:rFonts w:ascii="Arial" w:eastAsia="Times New Roman" w:hAnsi="Arial" w:cs="Arial"/>
          <w:color w:val="000000" w:themeColor="text1"/>
          <w:sz w:val="24"/>
          <w:szCs w:val="24"/>
          <w:lang w:val="es-419"/>
        </w:rPr>
        <w:t xml:space="preserve">una mayor cantidad de creencias sobre violencia estructural en la institución particular, un mayor prejuicio hacia personas con menos recursos en la institución pública y una </w:t>
      </w:r>
      <w:r w:rsidRPr="00087BAC">
        <w:rPr>
          <w:rFonts w:ascii="Arial" w:eastAsia="Times New Roman" w:hAnsi="Arial" w:cs="Arial"/>
          <w:color w:val="000000" w:themeColor="text1"/>
          <w:sz w:val="24"/>
          <w:szCs w:val="24"/>
          <w:lang w:val="es-419"/>
        </w:rPr>
        <w:t xml:space="preserve">menor puntuación en mujeres. </w:t>
      </w:r>
      <w:r>
        <w:rPr>
          <w:rFonts w:ascii="Arial" w:eastAsia="Times New Roman" w:hAnsi="Arial" w:cs="Arial"/>
          <w:color w:val="000000" w:themeColor="text1"/>
          <w:sz w:val="24"/>
          <w:szCs w:val="24"/>
          <w:lang w:val="es-419"/>
        </w:rPr>
        <w:t>L</w:t>
      </w:r>
      <w:r w:rsidRPr="00087BAC">
        <w:rPr>
          <w:rFonts w:ascii="Arial" w:eastAsia="Times New Roman" w:hAnsi="Arial" w:cs="Arial"/>
          <w:color w:val="000000" w:themeColor="text1"/>
          <w:sz w:val="24"/>
          <w:szCs w:val="24"/>
          <w:lang w:val="es-419"/>
        </w:rPr>
        <w:t xml:space="preserve">os extremos de nivel socioeconómico (alto y bajo) presentan puntuaciones más altas que los demás. </w:t>
      </w:r>
      <w:r>
        <w:rPr>
          <w:rFonts w:ascii="Arial" w:eastAsia="Times New Roman" w:hAnsi="Arial" w:cs="Arial"/>
          <w:color w:val="000000" w:themeColor="text1"/>
          <w:sz w:val="24"/>
          <w:szCs w:val="24"/>
          <w:lang w:val="es-419"/>
        </w:rPr>
        <w:t>L</w:t>
      </w:r>
      <w:r w:rsidRPr="00087BAC">
        <w:rPr>
          <w:rFonts w:ascii="Arial" w:eastAsia="Times New Roman" w:hAnsi="Arial" w:cs="Arial"/>
          <w:color w:val="000000" w:themeColor="text1"/>
          <w:sz w:val="24"/>
          <w:szCs w:val="24"/>
          <w:lang w:val="es-419"/>
        </w:rPr>
        <w:t xml:space="preserve">a violencia estructural se convierte en creencias que </w:t>
      </w:r>
      <w:r>
        <w:rPr>
          <w:rFonts w:ascii="Arial" w:eastAsia="Times New Roman" w:hAnsi="Arial" w:cs="Arial"/>
          <w:color w:val="000000" w:themeColor="text1"/>
          <w:sz w:val="24"/>
          <w:szCs w:val="24"/>
          <w:lang w:val="es-419"/>
        </w:rPr>
        <w:t xml:space="preserve">desembocan en actitudes, prejuicios y en la </w:t>
      </w:r>
      <w:r w:rsidRPr="00087BAC">
        <w:rPr>
          <w:rFonts w:ascii="Arial" w:eastAsia="Times New Roman" w:hAnsi="Arial" w:cs="Arial"/>
          <w:color w:val="000000" w:themeColor="text1"/>
          <w:sz w:val="24"/>
          <w:szCs w:val="24"/>
          <w:lang w:val="es-419"/>
        </w:rPr>
        <w:t>justificación de</w:t>
      </w:r>
      <w:r>
        <w:rPr>
          <w:rFonts w:ascii="Arial" w:eastAsia="Times New Roman" w:hAnsi="Arial" w:cs="Arial"/>
          <w:color w:val="000000" w:themeColor="text1"/>
          <w:sz w:val="24"/>
          <w:szCs w:val="24"/>
          <w:lang w:val="es-419"/>
        </w:rPr>
        <w:t xml:space="preserve">l </w:t>
      </w:r>
      <w:r w:rsidRPr="00087BAC">
        <w:rPr>
          <w:rFonts w:ascii="Arial" w:eastAsia="Times New Roman" w:hAnsi="Arial" w:cs="Arial"/>
          <w:color w:val="000000" w:themeColor="text1"/>
          <w:sz w:val="24"/>
          <w:szCs w:val="24"/>
          <w:lang w:val="es-419"/>
        </w:rPr>
        <w:t xml:space="preserve">orden social. </w:t>
      </w:r>
    </w:p>
    <w:p w14:paraId="55511DC4" w14:textId="77777777" w:rsidR="00087BAC" w:rsidRPr="00087BAC" w:rsidRDefault="00087BAC" w:rsidP="00087BAC">
      <w:pPr>
        <w:suppressAutoHyphens/>
        <w:spacing w:after="0" w:line="240" w:lineRule="auto"/>
        <w:jc w:val="both"/>
        <w:rPr>
          <w:rFonts w:ascii="Arial" w:hAnsi="Arial" w:cs="Arial"/>
          <w:sz w:val="24"/>
          <w:szCs w:val="24"/>
        </w:rPr>
      </w:pPr>
      <w:r w:rsidRPr="00087BAC">
        <w:rPr>
          <w:rFonts w:ascii="Arial" w:hAnsi="Arial" w:cs="Arial"/>
          <w:b/>
          <w:bCs/>
          <w:sz w:val="24"/>
          <w:szCs w:val="24"/>
        </w:rPr>
        <w:t>Palabras clave</w:t>
      </w:r>
      <w:r w:rsidRPr="00087BAC">
        <w:rPr>
          <w:rFonts w:ascii="Arial" w:hAnsi="Arial" w:cs="Arial"/>
          <w:sz w:val="24"/>
          <w:szCs w:val="24"/>
        </w:rPr>
        <w:t xml:space="preserve">: violencia estructural, seguridad humana, medición, desigualdad.    </w:t>
      </w:r>
    </w:p>
    <w:p w14:paraId="23EFD560" w14:textId="77777777" w:rsidR="00087BAC" w:rsidRPr="00087BAC" w:rsidRDefault="00087BAC" w:rsidP="00087BAC">
      <w:pPr>
        <w:suppressAutoHyphens/>
        <w:spacing w:after="0" w:line="240" w:lineRule="auto"/>
        <w:jc w:val="both"/>
        <w:rPr>
          <w:rFonts w:ascii="Arial" w:hAnsi="Arial" w:cs="Arial"/>
          <w:b/>
          <w:bCs/>
          <w:sz w:val="24"/>
          <w:szCs w:val="24"/>
        </w:rPr>
      </w:pPr>
    </w:p>
    <w:p w14:paraId="42D9904D" w14:textId="77777777" w:rsidR="00087BAC" w:rsidRPr="00087BAC" w:rsidRDefault="00087BAC" w:rsidP="00087BAC">
      <w:pPr>
        <w:suppressAutoHyphens/>
        <w:spacing w:after="0" w:line="240" w:lineRule="auto"/>
        <w:jc w:val="both"/>
        <w:rPr>
          <w:rFonts w:ascii="Arial" w:hAnsi="Arial" w:cs="Arial"/>
          <w:b/>
          <w:bCs/>
          <w:sz w:val="24"/>
          <w:szCs w:val="24"/>
        </w:rPr>
      </w:pPr>
    </w:p>
    <w:p w14:paraId="2F81BE4E" w14:textId="77777777" w:rsidR="00087BAC" w:rsidRPr="00087BAC" w:rsidRDefault="00087BAC" w:rsidP="00087BAC">
      <w:pPr>
        <w:suppressAutoHyphens/>
        <w:spacing w:after="0" w:line="240" w:lineRule="auto"/>
        <w:jc w:val="both"/>
        <w:rPr>
          <w:rFonts w:ascii="Arial" w:hAnsi="Arial" w:cs="Arial"/>
          <w:b/>
          <w:bCs/>
          <w:sz w:val="24"/>
          <w:szCs w:val="24"/>
        </w:rPr>
      </w:pPr>
      <w:r w:rsidRPr="00087BAC">
        <w:rPr>
          <w:rFonts w:ascii="Arial" w:hAnsi="Arial" w:cs="Arial"/>
          <w:b/>
          <w:bCs/>
          <w:sz w:val="24"/>
          <w:szCs w:val="24"/>
        </w:rPr>
        <w:t xml:space="preserve">Introducción </w:t>
      </w:r>
    </w:p>
    <w:p w14:paraId="1F6E7222" w14:textId="77777777" w:rsidR="00087BAC" w:rsidRPr="00087BAC" w:rsidRDefault="00087BAC" w:rsidP="00087BAC">
      <w:pPr>
        <w:suppressAutoHyphens/>
        <w:spacing w:after="0" w:line="240" w:lineRule="auto"/>
        <w:jc w:val="both"/>
        <w:rPr>
          <w:rFonts w:ascii="Arial" w:hAnsi="Arial" w:cs="Arial"/>
          <w:smallCaps/>
          <w:sz w:val="24"/>
          <w:szCs w:val="24"/>
        </w:rPr>
      </w:pPr>
    </w:p>
    <w:p w14:paraId="6B1D33E0" w14:textId="77777777" w:rsidR="00087BAC" w:rsidRPr="00087BAC" w:rsidRDefault="00087BAC" w:rsidP="00087BAC">
      <w:pPr>
        <w:spacing w:after="0" w:line="240" w:lineRule="auto"/>
        <w:contextualSpacing/>
        <w:jc w:val="both"/>
        <w:rPr>
          <w:rFonts w:ascii="Arial" w:hAnsi="Arial" w:cs="Arial"/>
          <w:sz w:val="24"/>
          <w:szCs w:val="24"/>
        </w:rPr>
      </w:pPr>
      <w:r w:rsidRPr="00087BAC">
        <w:rPr>
          <w:rFonts w:ascii="Arial" w:hAnsi="Arial" w:cs="Arial"/>
          <w:sz w:val="24"/>
          <w:szCs w:val="24"/>
        </w:rPr>
        <w:t>De acuerdo con el índice de competitividad internacional, México se encuentra a nivel social en lugar 38 de 43 y de manera general en lugar 37 (</w:t>
      </w:r>
      <w:bookmarkStart w:id="1" w:name="_Hlk138895207"/>
      <w:r w:rsidRPr="00087BAC">
        <w:rPr>
          <w:rFonts w:ascii="Arial" w:hAnsi="Arial" w:cs="Arial"/>
          <w:sz w:val="24"/>
          <w:szCs w:val="24"/>
        </w:rPr>
        <w:t>Instituto Mexicano Para la Competitividad</w:t>
      </w:r>
      <w:bookmarkEnd w:id="1"/>
      <w:r w:rsidRPr="00087BAC">
        <w:rPr>
          <w:rFonts w:ascii="Arial" w:hAnsi="Arial" w:cs="Arial"/>
          <w:sz w:val="24"/>
          <w:szCs w:val="24"/>
        </w:rPr>
        <w:t xml:space="preserve">, 2023). A su vez, solo el 18. 3% de la población no tiene escasez de recursos o vulnerabilidad (Gobierno de México, 2023). Finalmente, en el índice de paz mundial México ocupa el lugar 137 de 163 (Institute for Economics &amp; Peace, 2022).  </w:t>
      </w:r>
    </w:p>
    <w:p w14:paraId="5A5C1B0C" w14:textId="4EA01A20" w:rsidR="00087BAC" w:rsidRPr="00087BAC" w:rsidRDefault="00087BAC" w:rsidP="00087BAC">
      <w:pPr>
        <w:spacing w:after="0" w:line="240" w:lineRule="auto"/>
        <w:ind w:firstLine="425"/>
        <w:contextualSpacing/>
        <w:jc w:val="both"/>
        <w:rPr>
          <w:rFonts w:ascii="Arial" w:eastAsia="Times New Roman" w:hAnsi="Arial" w:cs="Arial"/>
          <w:sz w:val="24"/>
          <w:szCs w:val="24"/>
          <w:lang w:eastAsia="es-MX"/>
        </w:rPr>
      </w:pPr>
      <w:bookmarkStart w:id="2" w:name="_Hlk14954149"/>
      <w:r w:rsidRPr="00087BAC">
        <w:rPr>
          <w:rFonts w:ascii="Arial" w:hAnsi="Arial" w:cs="Arial"/>
          <w:sz w:val="24"/>
          <w:szCs w:val="24"/>
        </w:rPr>
        <w:t>Todo lo mencionado en el párrafo anterior implica la violencia estructural de forma tangible, misma que no proviene de un actor identificado, o no es posible atribuir de manera clara a alguien, por lo que se manifiesta en la desigualdad por sexo, raza, origen u otras características como la distribución de recursos u oportunidades; también la explotación en especial si favorece a una clase dominante, el detrimento del trato digno hacia un grupo o persona, la estratificación social; incide directamente en las libertades culturales, sociales y económicas, en la cual se generan también diferencias de oportunidades</w:t>
      </w:r>
      <w:bookmarkEnd w:id="2"/>
      <w:r w:rsidRPr="00087BAC">
        <w:rPr>
          <w:rFonts w:ascii="Arial" w:hAnsi="Arial" w:cs="Arial"/>
          <w:sz w:val="24"/>
          <w:szCs w:val="24"/>
        </w:rPr>
        <w:t xml:space="preserve">. La violencia estructural se </w:t>
      </w:r>
      <w:r w:rsidRPr="00087BAC">
        <w:rPr>
          <w:rFonts w:ascii="Arial" w:hAnsi="Arial" w:cs="Arial"/>
          <w:sz w:val="24"/>
          <w:szCs w:val="24"/>
        </w:rPr>
        <w:lastRenderedPageBreak/>
        <w:t>diferencia de la violencia directa (que es visible) y se manifiesta de forma física, sexual o psicológica</w:t>
      </w:r>
      <w:r w:rsidR="00C04153">
        <w:rPr>
          <w:rFonts w:ascii="Arial" w:hAnsi="Arial" w:cs="Arial"/>
          <w:sz w:val="24"/>
          <w:szCs w:val="24"/>
        </w:rPr>
        <w:t>,</w:t>
      </w:r>
      <w:r w:rsidRPr="00087BAC">
        <w:rPr>
          <w:rFonts w:ascii="Arial" w:hAnsi="Arial" w:cs="Arial"/>
          <w:sz w:val="24"/>
          <w:szCs w:val="24"/>
        </w:rPr>
        <w:t xml:space="preserve"> y de la cultural (que se manifiesta de manera simbólica) y sirve para atribuir a la víctima las responsabilidades, esto último podría ejemplificarse con el modelo económico (Galtung, 1969, 2016). </w:t>
      </w:r>
    </w:p>
    <w:p w14:paraId="1A86932C" w14:textId="4B7A1A02" w:rsidR="00087BAC" w:rsidRPr="00087BAC" w:rsidRDefault="00087BAC" w:rsidP="00087BAC">
      <w:pPr>
        <w:spacing w:after="0" w:line="240" w:lineRule="auto"/>
        <w:ind w:firstLine="425"/>
        <w:contextualSpacing/>
        <w:jc w:val="both"/>
        <w:rPr>
          <w:rFonts w:ascii="Arial" w:eastAsia="Times New Roman" w:hAnsi="Arial" w:cs="Arial"/>
          <w:sz w:val="24"/>
          <w:szCs w:val="24"/>
          <w:lang w:eastAsia="es-MX"/>
        </w:rPr>
      </w:pPr>
      <w:r w:rsidRPr="00087BAC">
        <w:rPr>
          <w:rFonts w:ascii="Arial" w:eastAsia="Times New Roman" w:hAnsi="Arial" w:cs="Arial"/>
          <w:sz w:val="24"/>
          <w:szCs w:val="24"/>
          <w:lang w:eastAsia="es-MX"/>
        </w:rPr>
        <w:t>Si bien</w:t>
      </w:r>
      <w:r w:rsidR="001D40D8">
        <w:rPr>
          <w:rFonts w:ascii="Arial" w:eastAsia="Times New Roman" w:hAnsi="Arial" w:cs="Arial"/>
          <w:sz w:val="24"/>
          <w:szCs w:val="24"/>
          <w:lang w:eastAsia="es-MX"/>
        </w:rPr>
        <w:t xml:space="preserve"> la violencia estructural no se puede apreciar de forma directa, de acuerdo con Galán, De la Rosa y Hernández (2022), es posible reconocerla en la manera en que afecta las creencias y actitudes de las personas hacia diferentes circunstancias, desde el favorecimiento de la clase privilegiada hasta el prejuicio o la </w:t>
      </w:r>
      <w:r w:rsidRPr="00087BAC">
        <w:rPr>
          <w:rFonts w:ascii="Arial" w:eastAsia="Times New Roman" w:hAnsi="Arial" w:cs="Arial"/>
          <w:sz w:val="24"/>
          <w:szCs w:val="24"/>
          <w:lang w:eastAsia="es-MX"/>
        </w:rPr>
        <w:t>segregación de las personas con menos recursos económicos. A su vez, las acciones e ideas que favorecen la búsqueda de la equidad son elementos implicados como consecuencia de la violencia estructural y cultural. Además, la extrema violencia que se vive en México es en sí misma una violencia estructural para todas y todos sus habitantes</w:t>
      </w:r>
      <w:r w:rsidR="00C04153">
        <w:rPr>
          <w:rFonts w:ascii="Arial" w:eastAsia="Times New Roman" w:hAnsi="Arial" w:cs="Arial"/>
          <w:sz w:val="24"/>
          <w:szCs w:val="24"/>
          <w:lang w:eastAsia="es-MX"/>
        </w:rPr>
        <w:t>,</w:t>
      </w:r>
      <w:r w:rsidRPr="00087BAC">
        <w:rPr>
          <w:rFonts w:ascii="Arial" w:eastAsia="Times New Roman" w:hAnsi="Arial" w:cs="Arial"/>
          <w:sz w:val="24"/>
          <w:szCs w:val="24"/>
          <w:lang w:eastAsia="es-MX"/>
        </w:rPr>
        <w:t xml:space="preserve"> sin importar sexos, razas o posición, afecta las acciones</w:t>
      </w:r>
      <w:r w:rsidR="001D40D8">
        <w:rPr>
          <w:rFonts w:ascii="Arial" w:eastAsia="Times New Roman" w:hAnsi="Arial" w:cs="Arial"/>
          <w:sz w:val="24"/>
          <w:szCs w:val="24"/>
          <w:lang w:eastAsia="es-MX"/>
        </w:rPr>
        <w:t xml:space="preserve"> y</w:t>
      </w:r>
      <w:r w:rsidRPr="00087BAC">
        <w:rPr>
          <w:rFonts w:ascii="Arial" w:eastAsia="Times New Roman" w:hAnsi="Arial" w:cs="Arial"/>
          <w:sz w:val="24"/>
          <w:szCs w:val="24"/>
          <w:lang w:eastAsia="es-MX"/>
        </w:rPr>
        <w:t xml:space="preserve"> vivencias e incide como un problema de salud pública. </w:t>
      </w:r>
    </w:p>
    <w:p w14:paraId="37C8C378" w14:textId="1F951D24" w:rsidR="00087BAC" w:rsidRPr="00087BAC" w:rsidRDefault="00087BAC" w:rsidP="00087BAC">
      <w:pPr>
        <w:spacing w:after="0" w:line="240" w:lineRule="auto"/>
        <w:ind w:firstLine="425"/>
        <w:contextualSpacing/>
        <w:jc w:val="both"/>
        <w:rPr>
          <w:rFonts w:ascii="Arial" w:eastAsia="Times New Roman" w:hAnsi="Arial" w:cs="Arial"/>
          <w:sz w:val="24"/>
          <w:szCs w:val="24"/>
          <w:lang w:eastAsia="es-MX"/>
        </w:rPr>
      </w:pPr>
      <w:r w:rsidRPr="00087BAC">
        <w:rPr>
          <w:rFonts w:ascii="Arial" w:eastAsia="Times New Roman" w:hAnsi="Arial" w:cs="Arial"/>
          <w:sz w:val="24"/>
          <w:szCs w:val="24"/>
          <w:lang w:eastAsia="es-MX"/>
        </w:rPr>
        <w:t xml:space="preserve">En este sentido, es necesario medir (para visibilizar) la forma en que la violencia estructural se manifiesta en actitudes e ideas que promueven la desigualdad y otras violencias difíciles de comprobar o atribuir a un actor se convierten en formas de violencia directa, provenientes de la desigualdad, el abuso de poder, el acceso a la salud, la educación, calidad de vida e incluso a la justicia (Aguilar-Foreo </w:t>
      </w:r>
      <w:r w:rsidR="00D714E3">
        <w:rPr>
          <w:rFonts w:ascii="Arial" w:eastAsia="Times New Roman" w:hAnsi="Arial" w:cs="Arial"/>
          <w:sz w:val="24"/>
          <w:szCs w:val="24"/>
          <w:lang w:eastAsia="es-MX"/>
        </w:rPr>
        <w:t>&amp;</w:t>
      </w:r>
      <w:r w:rsidRPr="00087BAC">
        <w:rPr>
          <w:rFonts w:ascii="Arial" w:eastAsia="Times New Roman" w:hAnsi="Arial" w:cs="Arial"/>
          <w:sz w:val="24"/>
          <w:szCs w:val="24"/>
          <w:lang w:eastAsia="es-MX"/>
        </w:rPr>
        <w:t xml:space="preserve"> Muñoz, 2015; Lee 2016; Loeza, 2017; Mosquera, 2017; Sossenheimer et al., 2018).</w:t>
      </w:r>
    </w:p>
    <w:p w14:paraId="2BFFAD2F" w14:textId="6A2F27FB" w:rsidR="00087BAC" w:rsidRPr="00087BAC" w:rsidRDefault="00087BAC" w:rsidP="00087BAC">
      <w:pPr>
        <w:spacing w:after="0" w:line="240" w:lineRule="auto"/>
        <w:ind w:firstLine="425"/>
        <w:contextualSpacing/>
        <w:jc w:val="both"/>
        <w:rPr>
          <w:rFonts w:ascii="Arial" w:eastAsia="Times New Roman" w:hAnsi="Arial" w:cs="Arial"/>
          <w:sz w:val="24"/>
          <w:szCs w:val="24"/>
          <w:lang w:eastAsia="es-MX"/>
        </w:rPr>
      </w:pPr>
      <w:r w:rsidRPr="00087BAC">
        <w:rPr>
          <w:rFonts w:ascii="Arial" w:eastAsia="Times New Roman" w:hAnsi="Arial" w:cs="Arial"/>
          <w:sz w:val="24"/>
          <w:szCs w:val="24"/>
          <w:lang w:eastAsia="es-MX"/>
        </w:rPr>
        <w:t xml:space="preserve">En las juventudes mexicanas se encuentran distintas manifestaciones de violencia directa, entre ellas, su primera causa de muerte es el asesinato, lo cual se suma al indicador que tiene México al pertenecer con 17 de 50 de las ciudades más violentas del mundo, incluidos los primeros lugares (Seguridad, Justicia y Paz, 2023 y Molina, 2018). </w:t>
      </w:r>
      <w:bookmarkStart w:id="3" w:name="_Hlk143931588"/>
      <w:r w:rsidRPr="00087BAC">
        <w:rPr>
          <w:rFonts w:ascii="Arial" w:eastAsia="Times New Roman" w:hAnsi="Arial" w:cs="Arial"/>
          <w:sz w:val="24"/>
          <w:szCs w:val="24"/>
          <w:lang w:eastAsia="es-MX"/>
        </w:rPr>
        <w:t>Esto también se replica, al interior de las instituciones educativas, en manifestaciones menos extremas, pero con consecuencias muchas veces similares</w:t>
      </w:r>
      <w:r w:rsidR="001D40D8">
        <w:rPr>
          <w:rFonts w:ascii="Arial" w:eastAsia="Times New Roman" w:hAnsi="Arial" w:cs="Arial"/>
          <w:sz w:val="24"/>
          <w:szCs w:val="24"/>
          <w:lang w:eastAsia="es-MX"/>
        </w:rPr>
        <w:t>,</w:t>
      </w:r>
      <w:r w:rsidRPr="00087BAC">
        <w:rPr>
          <w:rFonts w:ascii="Arial" w:eastAsia="Times New Roman" w:hAnsi="Arial" w:cs="Arial"/>
          <w:sz w:val="24"/>
          <w:szCs w:val="24"/>
          <w:lang w:eastAsia="es-MX"/>
        </w:rPr>
        <w:t xml:space="preserve"> como el acoso escolar o el acceso a la educación de calidad </w:t>
      </w:r>
      <w:bookmarkEnd w:id="3"/>
      <w:r w:rsidRPr="00087BAC">
        <w:rPr>
          <w:rFonts w:ascii="Arial" w:eastAsia="Times New Roman" w:hAnsi="Arial" w:cs="Arial"/>
          <w:sz w:val="24"/>
          <w:szCs w:val="24"/>
          <w:lang w:eastAsia="es-MX"/>
        </w:rPr>
        <w:t xml:space="preserve">(Díaz, Vázquez </w:t>
      </w:r>
      <w:r w:rsidR="00D714E3">
        <w:rPr>
          <w:rFonts w:ascii="Arial" w:eastAsia="Times New Roman" w:hAnsi="Arial" w:cs="Arial"/>
          <w:sz w:val="24"/>
          <w:szCs w:val="24"/>
          <w:lang w:eastAsia="es-MX"/>
        </w:rPr>
        <w:t>&amp;</w:t>
      </w:r>
      <w:r w:rsidRPr="00087BAC">
        <w:rPr>
          <w:rFonts w:ascii="Arial" w:eastAsia="Times New Roman" w:hAnsi="Arial" w:cs="Arial"/>
          <w:sz w:val="24"/>
          <w:szCs w:val="24"/>
          <w:lang w:eastAsia="es-MX"/>
        </w:rPr>
        <w:t xml:space="preserve"> Pérez, 2015; Soto </w:t>
      </w:r>
      <w:r w:rsidR="00D714E3">
        <w:rPr>
          <w:rFonts w:ascii="Arial" w:eastAsia="Times New Roman" w:hAnsi="Arial" w:cs="Arial"/>
          <w:sz w:val="24"/>
          <w:szCs w:val="24"/>
          <w:lang w:eastAsia="es-MX"/>
        </w:rPr>
        <w:t>&amp;</w:t>
      </w:r>
      <w:r w:rsidRPr="00087BAC">
        <w:rPr>
          <w:rFonts w:ascii="Arial" w:eastAsia="Times New Roman" w:hAnsi="Arial" w:cs="Arial"/>
          <w:sz w:val="24"/>
          <w:szCs w:val="24"/>
          <w:lang w:eastAsia="es-MX"/>
        </w:rPr>
        <w:t xml:space="preserve"> Trucco, 2015).</w:t>
      </w:r>
    </w:p>
    <w:p w14:paraId="0AA3AEB5" w14:textId="77777777" w:rsidR="00087BAC" w:rsidRPr="00087BAC" w:rsidRDefault="00087BAC" w:rsidP="0008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w:eastAsia="Times New Roman" w:hAnsi="Arial" w:cs="Arial"/>
          <w:sz w:val="24"/>
          <w:szCs w:val="24"/>
          <w:lang w:eastAsia="es-MX"/>
        </w:rPr>
      </w:pPr>
    </w:p>
    <w:p w14:paraId="447205EF" w14:textId="77777777" w:rsidR="00087BAC" w:rsidRPr="00087BAC" w:rsidRDefault="00087BAC" w:rsidP="0008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w:eastAsia="Times New Roman" w:hAnsi="Arial" w:cs="Arial"/>
          <w:sz w:val="24"/>
          <w:szCs w:val="24"/>
          <w:lang w:eastAsia="es-MX"/>
        </w:rPr>
      </w:pPr>
    </w:p>
    <w:p w14:paraId="655A73CB" w14:textId="77777777" w:rsidR="00087BAC" w:rsidRPr="00087BAC" w:rsidRDefault="00087BAC" w:rsidP="00087BAC">
      <w:pPr>
        <w:suppressAutoHyphens/>
        <w:spacing w:after="0" w:line="240" w:lineRule="auto"/>
        <w:jc w:val="both"/>
        <w:rPr>
          <w:rFonts w:ascii="Arial" w:hAnsi="Arial" w:cs="Arial"/>
          <w:b/>
          <w:bCs/>
          <w:sz w:val="24"/>
          <w:szCs w:val="24"/>
        </w:rPr>
      </w:pPr>
      <w:r w:rsidRPr="00087BAC">
        <w:rPr>
          <w:rFonts w:ascii="Arial" w:hAnsi="Arial" w:cs="Arial"/>
          <w:b/>
          <w:bCs/>
          <w:sz w:val="24"/>
          <w:szCs w:val="24"/>
        </w:rPr>
        <w:t>Metodología</w:t>
      </w:r>
    </w:p>
    <w:p w14:paraId="5A192802" w14:textId="77777777" w:rsidR="00087BAC" w:rsidRPr="00087BAC" w:rsidRDefault="00087BAC" w:rsidP="00087BAC">
      <w:pPr>
        <w:suppressAutoHyphens/>
        <w:spacing w:after="0" w:line="240" w:lineRule="auto"/>
        <w:jc w:val="both"/>
        <w:rPr>
          <w:rFonts w:ascii="Arial" w:hAnsi="Arial" w:cs="Arial"/>
          <w:smallCaps/>
          <w:sz w:val="24"/>
          <w:szCs w:val="24"/>
        </w:rPr>
      </w:pPr>
    </w:p>
    <w:p w14:paraId="1220B8D5" w14:textId="3D3D6CF8" w:rsidR="00087BAC" w:rsidRPr="00087BAC" w:rsidRDefault="00087BAC" w:rsidP="00087BAC">
      <w:pPr>
        <w:suppressAutoHyphens/>
        <w:spacing w:after="0" w:line="240" w:lineRule="auto"/>
        <w:jc w:val="both"/>
        <w:rPr>
          <w:rFonts w:ascii="Arial" w:hAnsi="Arial" w:cs="Arial"/>
          <w:sz w:val="24"/>
          <w:szCs w:val="24"/>
        </w:rPr>
      </w:pPr>
      <w:r w:rsidRPr="00087BAC">
        <w:rPr>
          <w:rFonts w:ascii="Arial" w:hAnsi="Arial" w:cs="Arial"/>
          <w:iCs/>
          <w:sz w:val="24"/>
          <w:szCs w:val="24"/>
        </w:rPr>
        <w:t xml:space="preserve">Se trabajó con un diseño analítico transversal comparativo </w:t>
      </w:r>
      <w:r w:rsidR="00C04153">
        <w:rPr>
          <w:rFonts w:ascii="Arial" w:hAnsi="Arial" w:cs="Arial"/>
          <w:iCs/>
          <w:sz w:val="24"/>
          <w:szCs w:val="24"/>
        </w:rPr>
        <w:t>en tres instituciones de la capital del estado de San Luis Potosí: dos</w:t>
      </w:r>
      <w:r w:rsidRPr="00087BAC">
        <w:rPr>
          <w:rFonts w:ascii="Arial" w:hAnsi="Arial" w:cs="Arial"/>
          <w:iCs/>
          <w:sz w:val="24"/>
          <w:szCs w:val="24"/>
        </w:rPr>
        <w:t xml:space="preserve"> de </w:t>
      </w:r>
      <w:r w:rsidR="00C04153">
        <w:rPr>
          <w:rFonts w:ascii="Arial" w:hAnsi="Arial" w:cs="Arial"/>
          <w:iCs/>
          <w:sz w:val="24"/>
          <w:szCs w:val="24"/>
        </w:rPr>
        <w:t xml:space="preserve">educación </w:t>
      </w:r>
      <w:r w:rsidRPr="00087BAC">
        <w:rPr>
          <w:rFonts w:ascii="Arial" w:hAnsi="Arial" w:cs="Arial"/>
          <w:iCs/>
          <w:sz w:val="24"/>
          <w:szCs w:val="24"/>
        </w:rPr>
        <w:t xml:space="preserve">media superior y una de preparación para </w:t>
      </w:r>
      <w:r w:rsidR="001D40D8">
        <w:rPr>
          <w:rFonts w:ascii="Arial" w:hAnsi="Arial" w:cs="Arial"/>
          <w:iCs/>
          <w:sz w:val="24"/>
          <w:szCs w:val="24"/>
        </w:rPr>
        <w:t xml:space="preserve">el </w:t>
      </w:r>
      <w:r w:rsidRPr="00087BAC">
        <w:rPr>
          <w:rFonts w:ascii="Arial" w:hAnsi="Arial" w:cs="Arial"/>
          <w:iCs/>
          <w:sz w:val="24"/>
          <w:szCs w:val="24"/>
        </w:rPr>
        <w:t>ingreso a la universidad. Con una muestra total de 877 jóvenes</w:t>
      </w:r>
      <w:r w:rsidR="00C04153">
        <w:rPr>
          <w:rFonts w:ascii="Arial" w:hAnsi="Arial" w:cs="Arial"/>
          <w:iCs/>
          <w:sz w:val="24"/>
          <w:szCs w:val="24"/>
        </w:rPr>
        <w:t xml:space="preserve">, con una edad media de 16,63 ± 1,65 años, un mínimo de 13 y un </w:t>
      </w:r>
      <w:r w:rsidRPr="00087BAC">
        <w:rPr>
          <w:rFonts w:ascii="Arial" w:hAnsi="Arial" w:cs="Arial"/>
          <w:iCs/>
          <w:sz w:val="24"/>
          <w:szCs w:val="24"/>
        </w:rPr>
        <w:t>máximo de 19</w:t>
      </w:r>
      <w:r w:rsidR="00C04153">
        <w:rPr>
          <w:rFonts w:ascii="Arial" w:hAnsi="Arial" w:cs="Arial"/>
          <w:iCs/>
          <w:sz w:val="24"/>
          <w:szCs w:val="24"/>
        </w:rPr>
        <w:t xml:space="preserve"> años</w:t>
      </w:r>
      <w:r w:rsidRPr="00087BAC">
        <w:rPr>
          <w:rFonts w:ascii="Arial" w:hAnsi="Arial" w:cs="Arial"/>
          <w:iCs/>
          <w:sz w:val="24"/>
          <w:szCs w:val="24"/>
        </w:rPr>
        <w:t xml:space="preserve">. Distribuidos en la institución privada 18%, 45% en media superior pública y 37% en la institución de preparación para ingreso a la universidad. Esta investigación siguió los principios éticos que marca la </w:t>
      </w:r>
      <w:r w:rsidRPr="00087BAC">
        <w:rPr>
          <w:rFonts w:ascii="Arial" w:hAnsi="Arial" w:cs="Arial"/>
          <w:i/>
          <w:iCs/>
          <w:sz w:val="24"/>
          <w:szCs w:val="24"/>
        </w:rPr>
        <w:t xml:space="preserve">American Psychological Association </w:t>
      </w:r>
      <w:r w:rsidRPr="00087BAC">
        <w:rPr>
          <w:rFonts w:ascii="Arial" w:hAnsi="Arial" w:cs="Arial"/>
          <w:sz w:val="24"/>
          <w:szCs w:val="24"/>
        </w:rPr>
        <w:t>(2017)</w:t>
      </w:r>
      <w:r w:rsidR="00C04153">
        <w:rPr>
          <w:rFonts w:ascii="Arial" w:hAnsi="Arial" w:cs="Arial"/>
          <w:sz w:val="24"/>
          <w:szCs w:val="24"/>
        </w:rPr>
        <w:t>, entre los que se destacan la autorización de la institución, el anonimato y la voluntariedad de la</w:t>
      </w:r>
      <w:r w:rsidRPr="00087BAC">
        <w:rPr>
          <w:rFonts w:ascii="Arial" w:hAnsi="Arial" w:cs="Arial"/>
          <w:sz w:val="24"/>
          <w:szCs w:val="24"/>
        </w:rPr>
        <w:t xml:space="preserve"> participación, así como la obtención y devolución de resultados a nivel social.</w:t>
      </w:r>
    </w:p>
    <w:p w14:paraId="0C5F90A2" w14:textId="77777777" w:rsidR="00087BAC" w:rsidRPr="00087BAC" w:rsidRDefault="00087BAC" w:rsidP="00087BAC">
      <w:pPr>
        <w:suppressAutoHyphens/>
        <w:spacing w:after="0" w:line="240" w:lineRule="auto"/>
        <w:jc w:val="both"/>
        <w:rPr>
          <w:rFonts w:ascii="Arial" w:hAnsi="Arial" w:cs="Arial"/>
          <w:i/>
          <w:sz w:val="24"/>
          <w:szCs w:val="24"/>
        </w:rPr>
      </w:pPr>
    </w:p>
    <w:p w14:paraId="493C54BE" w14:textId="77777777" w:rsidR="00087BAC" w:rsidRPr="00087BAC" w:rsidRDefault="00087BAC" w:rsidP="00087BAC">
      <w:pPr>
        <w:suppressAutoHyphens/>
        <w:spacing w:after="0" w:line="240" w:lineRule="auto"/>
        <w:jc w:val="both"/>
        <w:rPr>
          <w:rFonts w:ascii="Arial" w:hAnsi="Arial" w:cs="Arial"/>
          <w:i/>
          <w:sz w:val="24"/>
          <w:szCs w:val="24"/>
        </w:rPr>
      </w:pPr>
      <w:r w:rsidRPr="00087BAC">
        <w:rPr>
          <w:rFonts w:ascii="Arial" w:hAnsi="Arial" w:cs="Arial"/>
          <w:i/>
          <w:sz w:val="24"/>
          <w:szCs w:val="24"/>
        </w:rPr>
        <w:t>Instrumento</w:t>
      </w:r>
    </w:p>
    <w:p w14:paraId="2A8BD836" w14:textId="66F5ECCC" w:rsidR="00087BAC" w:rsidRPr="00087BAC" w:rsidRDefault="00087BAC" w:rsidP="00087BAC">
      <w:pPr>
        <w:spacing w:after="0" w:line="240" w:lineRule="auto"/>
        <w:contextualSpacing/>
        <w:jc w:val="both"/>
        <w:rPr>
          <w:rFonts w:ascii="Arial" w:hAnsi="Arial" w:cs="Arial"/>
          <w:sz w:val="24"/>
          <w:szCs w:val="24"/>
        </w:rPr>
      </w:pPr>
      <w:r w:rsidRPr="00087BAC">
        <w:rPr>
          <w:rFonts w:ascii="Arial" w:hAnsi="Arial" w:cs="Arial"/>
          <w:sz w:val="24"/>
          <w:szCs w:val="24"/>
        </w:rPr>
        <w:t xml:space="preserve">Se aplicaron preguntas sociodemográficas (reportadas en Tabla 1) y la escala de Galán et al. (2023) </w:t>
      </w:r>
      <w:r w:rsidRPr="00087BAC">
        <w:rPr>
          <w:rFonts w:ascii="Arial" w:hAnsi="Arial" w:cs="Arial"/>
          <w:i/>
          <w:iCs/>
          <w:sz w:val="24"/>
          <w:szCs w:val="24"/>
        </w:rPr>
        <w:t>Creencias de Violencia Estructural para Jóvenes</w:t>
      </w:r>
      <w:r w:rsidRPr="00087BAC">
        <w:rPr>
          <w:rFonts w:ascii="Arial" w:hAnsi="Arial" w:cs="Arial"/>
          <w:sz w:val="24"/>
          <w:szCs w:val="24"/>
        </w:rPr>
        <w:t xml:space="preserve"> (CVEJ). La cual </w:t>
      </w:r>
      <w:r w:rsidRPr="00087BAC">
        <w:rPr>
          <w:rFonts w:ascii="Arial" w:hAnsi="Arial" w:cs="Arial"/>
          <w:sz w:val="24"/>
          <w:szCs w:val="24"/>
        </w:rPr>
        <w:lastRenderedPageBreak/>
        <w:t xml:space="preserve">consta de tres dimensiones: creencias </w:t>
      </w:r>
      <w:r w:rsidR="001D40D8">
        <w:rPr>
          <w:rFonts w:ascii="Arial" w:hAnsi="Arial" w:cs="Arial"/>
          <w:sz w:val="24"/>
          <w:szCs w:val="24"/>
        </w:rPr>
        <w:t>sobre la inequidad y prejuicios contra las personas con menos recursos, interés en la igualdad de oportunidades (ítems inversos) y</w:t>
      </w:r>
      <w:r w:rsidRPr="00087BAC">
        <w:rPr>
          <w:rFonts w:ascii="Arial" w:hAnsi="Arial" w:cs="Arial"/>
          <w:sz w:val="24"/>
          <w:szCs w:val="24"/>
        </w:rPr>
        <w:t xml:space="preserve"> privilegio de la clase dominante. </w:t>
      </w:r>
      <w:r w:rsidR="001D40D8">
        <w:rPr>
          <w:rFonts w:ascii="Arial" w:hAnsi="Arial" w:cs="Arial"/>
          <w:sz w:val="24"/>
          <w:szCs w:val="24"/>
        </w:rPr>
        <w:t>Estas</w:t>
      </w:r>
      <w:r w:rsidRPr="00087BAC">
        <w:rPr>
          <w:rFonts w:ascii="Arial" w:hAnsi="Arial" w:cs="Arial"/>
          <w:sz w:val="24"/>
          <w:szCs w:val="24"/>
        </w:rPr>
        <w:t xml:space="preserve"> tres dimensiones cuentan con un total de 13 ítems y se </w:t>
      </w:r>
      <w:r w:rsidR="001D40D8">
        <w:rPr>
          <w:rFonts w:ascii="Arial" w:hAnsi="Arial" w:cs="Arial"/>
          <w:sz w:val="24"/>
          <w:szCs w:val="24"/>
        </w:rPr>
        <w:t>responden</w:t>
      </w:r>
      <w:r w:rsidRPr="00087BAC">
        <w:rPr>
          <w:rFonts w:ascii="Arial" w:hAnsi="Arial" w:cs="Arial"/>
          <w:sz w:val="24"/>
          <w:szCs w:val="24"/>
        </w:rPr>
        <w:t xml:space="preserve"> con escala tipo Likert de cinco puntos que inicia en completamente</w:t>
      </w:r>
      <w:r w:rsidR="001D40D8">
        <w:rPr>
          <w:rFonts w:ascii="Arial" w:hAnsi="Arial" w:cs="Arial"/>
          <w:sz w:val="24"/>
          <w:szCs w:val="24"/>
        </w:rPr>
        <w:t xml:space="preserve"> en</w:t>
      </w:r>
      <w:r w:rsidRPr="00087BAC">
        <w:rPr>
          <w:rFonts w:ascii="Arial" w:hAnsi="Arial" w:cs="Arial"/>
          <w:sz w:val="24"/>
          <w:szCs w:val="24"/>
        </w:rPr>
        <w:t xml:space="preserve"> desacuerdo a completamente de acuerdo. Cuenta con una confiabilidad compuesta superior a .7 en cada dimensión, un AGFI= .95 y CFI .98. </w:t>
      </w:r>
    </w:p>
    <w:p w14:paraId="51F26BA1" w14:textId="77777777" w:rsidR="00087BAC" w:rsidRPr="00087BAC" w:rsidRDefault="00087BAC" w:rsidP="00087BAC">
      <w:pPr>
        <w:spacing w:after="0" w:line="240" w:lineRule="auto"/>
        <w:contextualSpacing/>
        <w:jc w:val="both"/>
        <w:rPr>
          <w:rFonts w:ascii="Arial" w:hAnsi="Arial" w:cs="Arial"/>
          <w:sz w:val="24"/>
          <w:szCs w:val="24"/>
        </w:rPr>
      </w:pPr>
    </w:p>
    <w:p w14:paraId="5C17DB6D" w14:textId="77777777" w:rsidR="00087BAC" w:rsidRPr="00087BAC" w:rsidRDefault="00087BAC" w:rsidP="00087BAC">
      <w:pPr>
        <w:suppressAutoHyphens/>
        <w:spacing w:after="0" w:line="240" w:lineRule="auto"/>
        <w:jc w:val="both"/>
        <w:rPr>
          <w:rFonts w:ascii="Arial" w:hAnsi="Arial" w:cs="Arial"/>
          <w:i/>
          <w:sz w:val="24"/>
          <w:szCs w:val="24"/>
        </w:rPr>
      </w:pPr>
      <w:r w:rsidRPr="00087BAC">
        <w:rPr>
          <w:rFonts w:ascii="Arial" w:hAnsi="Arial" w:cs="Arial"/>
          <w:i/>
          <w:sz w:val="24"/>
          <w:szCs w:val="24"/>
        </w:rPr>
        <w:t xml:space="preserve">Procedimiento </w:t>
      </w:r>
    </w:p>
    <w:p w14:paraId="1A49B992" w14:textId="77777777" w:rsidR="00087BAC" w:rsidRPr="00087BAC" w:rsidRDefault="00087BAC" w:rsidP="00087BAC">
      <w:pPr>
        <w:suppressAutoHyphens/>
        <w:spacing w:after="0" w:line="240" w:lineRule="auto"/>
        <w:jc w:val="both"/>
        <w:rPr>
          <w:rFonts w:ascii="Arial" w:hAnsi="Arial" w:cs="Arial"/>
          <w:iCs/>
          <w:sz w:val="24"/>
          <w:szCs w:val="24"/>
        </w:rPr>
      </w:pPr>
      <w:r w:rsidRPr="00087BAC">
        <w:rPr>
          <w:rFonts w:ascii="Arial" w:hAnsi="Arial" w:cs="Arial"/>
          <w:iCs/>
          <w:sz w:val="24"/>
          <w:szCs w:val="24"/>
        </w:rPr>
        <w:t xml:space="preserve">Previo a la pandemia se acudió  a las instituciones de educación media, media superior y de entrenamiento para aplicar la escala de Creencias de Violencia Estructural, se aplicó de manera presencial en cada una de las instituciones, solicitando autorización, revisión del instrumento y sus preguntas, así como el asentimiento de cada una de las participantes las cuales se recabaron de forma anónima, invitándoles a dar seguimiento si así lo querían, a su vez como dar posibilidad de no participar o suspender sin afección alguna. Se tomaron las muestras en distintos días y visitas. </w:t>
      </w:r>
    </w:p>
    <w:p w14:paraId="1960C8C5" w14:textId="77777777" w:rsidR="00087BAC" w:rsidRPr="00087BAC" w:rsidRDefault="00087BAC" w:rsidP="00087BAC">
      <w:pPr>
        <w:suppressAutoHyphens/>
        <w:spacing w:after="0" w:line="240" w:lineRule="auto"/>
        <w:jc w:val="both"/>
        <w:rPr>
          <w:rFonts w:ascii="Arial" w:hAnsi="Arial" w:cs="Arial"/>
          <w:iCs/>
          <w:sz w:val="24"/>
          <w:szCs w:val="24"/>
        </w:rPr>
      </w:pPr>
    </w:p>
    <w:p w14:paraId="3102DFEB" w14:textId="77777777" w:rsidR="00087BAC" w:rsidRPr="00087BAC" w:rsidRDefault="00087BAC" w:rsidP="00087BAC">
      <w:pPr>
        <w:suppressAutoHyphens/>
        <w:spacing w:after="0" w:line="240" w:lineRule="auto"/>
        <w:jc w:val="both"/>
        <w:rPr>
          <w:rFonts w:ascii="Arial" w:hAnsi="Arial" w:cs="Arial"/>
          <w:i/>
          <w:sz w:val="24"/>
          <w:szCs w:val="24"/>
          <w:lang w:val="es-419"/>
        </w:rPr>
      </w:pPr>
      <w:r w:rsidRPr="00087BAC">
        <w:rPr>
          <w:rFonts w:ascii="Arial" w:hAnsi="Arial" w:cs="Arial"/>
          <w:i/>
          <w:sz w:val="24"/>
          <w:szCs w:val="24"/>
          <w:lang w:val="es-419"/>
        </w:rPr>
        <w:t>Análisis de datos</w:t>
      </w:r>
    </w:p>
    <w:p w14:paraId="5655169B" w14:textId="77777777" w:rsidR="00087BAC" w:rsidRPr="00087BAC" w:rsidRDefault="00087BAC" w:rsidP="00087BAC">
      <w:pPr>
        <w:suppressAutoHyphens/>
        <w:spacing w:after="0" w:line="240" w:lineRule="auto"/>
        <w:jc w:val="both"/>
        <w:rPr>
          <w:rFonts w:ascii="Arial" w:hAnsi="Arial" w:cs="Arial"/>
          <w:sz w:val="24"/>
          <w:szCs w:val="24"/>
        </w:rPr>
      </w:pPr>
      <w:r w:rsidRPr="00087BAC">
        <w:rPr>
          <w:rFonts w:ascii="Arial" w:hAnsi="Arial" w:cs="Arial"/>
          <w:sz w:val="24"/>
          <w:szCs w:val="24"/>
        </w:rPr>
        <w:t xml:space="preserve">Se trabajó con ANOVA el comparativo de las tres instituciones, con Omega cuadrado como tamaño del efecto, además de la d de Cohen para comparación entre pares. Esta última se empleó también en la t de Welch con el mismo fin, la t de Welch es recomendada cuando los datos no se comportan de manera normal, por lo que antes de realizar la estadística paramétrica se hicieron pruebas de normalidad y equivalencia de varianzas para la toma de decisión (Goss-Sampson, 2019). </w:t>
      </w:r>
    </w:p>
    <w:p w14:paraId="19512927" w14:textId="77777777" w:rsidR="00087BAC" w:rsidRPr="00087BAC" w:rsidRDefault="00087BAC" w:rsidP="00087BAC">
      <w:pPr>
        <w:spacing w:after="0" w:line="240" w:lineRule="auto"/>
        <w:contextualSpacing/>
        <w:jc w:val="both"/>
        <w:rPr>
          <w:rFonts w:ascii="Arial" w:hAnsi="Arial" w:cs="Arial"/>
          <w:b/>
          <w:bCs/>
          <w:sz w:val="24"/>
          <w:szCs w:val="24"/>
        </w:rPr>
      </w:pPr>
    </w:p>
    <w:p w14:paraId="59A485C6" w14:textId="77777777" w:rsidR="00087BAC" w:rsidRPr="00087BAC" w:rsidRDefault="00087BAC" w:rsidP="00087BAC">
      <w:pPr>
        <w:spacing w:after="0" w:line="240" w:lineRule="auto"/>
        <w:contextualSpacing/>
        <w:jc w:val="both"/>
        <w:rPr>
          <w:rFonts w:ascii="Arial" w:hAnsi="Arial" w:cs="Arial"/>
          <w:b/>
          <w:bCs/>
          <w:sz w:val="24"/>
          <w:szCs w:val="24"/>
        </w:rPr>
      </w:pPr>
    </w:p>
    <w:p w14:paraId="17ACD725" w14:textId="77777777" w:rsidR="00087BAC" w:rsidRPr="00087BAC" w:rsidRDefault="00087BAC" w:rsidP="00087BAC">
      <w:pPr>
        <w:spacing w:after="0" w:line="240" w:lineRule="auto"/>
        <w:contextualSpacing/>
        <w:jc w:val="both"/>
        <w:rPr>
          <w:rFonts w:ascii="Arial" w:hAnsi="Arial" w:cs="Arial"/>
          <w:b/>
          <w:bCs/>
          <w:sz w:val="24"/>
          <w:szCs w:val="24"/>
        </w:rPr>
      </w:pPr>
      <w:r w:rsidRPr="00087BAC">
        <w:rPr>
          <w:rFonts w:ascii="Arial" w:hAnsi="Arial" w:cs="Arial"/>
          <w:b/>
          <w:bCs/>
          <w:sz w:val="24"/>
          <w:szCs w:val="24"/>
        </w:rPr>
        <w:t xml:space="preserve">Resultados, análisis y discusión  </w:t>
      </w:r>
    </w:p>
    <w:p w14:paraId="5CC67497" w14:textId="77777777" w:rsidR="00087BAC" w:rsidRPr="00087BAC" w:rsidRDefault="00087BAC" w:rsidP="00087BAC">
      <w:pPr>
        <w:spacing w:after="0" w:line="240" w:lineRule="auto"/>
        <w:contextualSpacing/>
        <w:jc w:val="both"/>
        <w:rPr>
          <w:rFonts w:ascii="Arial" w:hAnsi="Arial" w:cs="Arial"/>
          <w:sz w:val="24"/>
          <w:szCs w:val="24"/>
        </w:rPr>
      </w:pPr>
    </w:p>
    <w:p w14:paraId="4473B001" w14:textId="4E68CE46" w:rsidR="00087BAC" w:rsidRPr="00087BAC" w:rsidRDefault="00087BAC" w:rsidP="00087BAC">
      <w:pPr>
        <w:spacing w:after="0" w:line="240" w:lineRule="auto"/>
        <w:jc w:val="both"/>
        <w:rPr>
          <w:rFonts w:ascii="Arial" w:hAnsi="Arial" w:cs="Arial"/>
          <w:sz w:val="24"/>
          <w:szCs w:val="24"/>
        </w:rPr>
      </w:pPr>
      <w:r w:rsidRPr="00087BAC">
        <w:rPr>
          <w:rFonts w:ascii="Arial" w:hAnsi="Arial" w:cs="Arial"/>
          <w:sz w:val="24"/>
          <w:szCs w:val="24"/>
        </w:rPr>
        <w:t xml:space="preserve">Como se puede apreciar en la Tabla 1, se cuenta con participación (con base en </w:t>
      </w:r>
      <w:r w:rsidR="001D40D8">
        <w:rPr>
          <w:rFonts w:ascii="Arial" w:hAnsi="Arial" w:cs="Arial"/>
          <w:sz w:val="24"/>
          <w:szCs w:val="24"/>
        </w:rPr>
        <w:t>la percepción) de todos los niveles socioeconómicos, de personas que no desean continuar sus estudios y de</w:t>
      </w:r>
      <w:r w:rsidRPr="00087BAC">
        <w:rPr>
          <w:rFonts w:ascii="Arial" w:hAnsi="Arial" w:cs="Arial"/>
          <w:sz w:val="24"/>
          <w:szCs w:val="24"/>
        </w:rPr>
        <w:t xml:space="preserve"> una muestra cercana a la paridad por sexos. </w:t>
      </w:r>
    </w:p>
    <w:p w14:paraId="2533E677" w14:textId="77777777" w:rsidR="00087BAC" w:rsidRPr="00087BAC" w:rsidRDefault="00087BAC" w:rsidP="00087BAC">
      <w:pPr>
        <w:spacing w:after="0" w:line="240" w:lineRule="auto"/>
        <w:jc w:val="both"/>
        <w:rPr>
          <w:rFonts w:ascii="Arial" w:hAnsi="Arial" w:cs="Arial"/>
          <w:b/>
          <w:bCs/>
          <w:sz w:val="24"/>
          <w:szCs w:val="24"/>
        </w:rPr>
      </w:pPr>
    </w:p>
    <w:p w14:paraId="531D1D60" w14:textId="77777777" w:rsidR="00087BAC" w:rsidRPr="00087BAC" w:rsidRDefault="00087BAC" w:rsidP="00087BAC">
      <w:pPr>
        <w:spacing w:after="0" w:line="240" w:lineRule="auto"/>
        <w:jc w:val="both"/>
        <w:rPr>
          <w:rFonts w:ascii="Arial" w:hAnsi="Arial" w:cs="Arial"/>
          <w:i/>
          <w:iCs/>
          <w:sz w:val="20"/>
          <w:szCs w:val="20"/>
        </w:rPr>
      </w:pPr>
      <w:r w:rsidRPr="00087BAC">
        <w:rPr>
          <w:rFonts w:ascii="Arial" w:hAnsi="Arial" w:cs="Arial"/>
          <w:b/>
          <w:bCs/>
          <w:sz w:val="20"/>
          <w:szCs w:val="20"/>
        </w:rPr>
        <w:t>Tabla 1.</w:t>
      </w:r>
      <w:r w:rsidRPr="00087BAC">
        <w:rPr>
          <w:rFonts w:ascii="Arial" w:hAnsi="Arial" w:cs="Arial"/>
          <w:i/>
          <w:iCs/>
          <w:sz w:val="20"/>
          <w:szCs w:val="20"/>
        </w:rPr>
        <w:t xml:space="preserve"> </w:t>
      </w:r>
    </w:p>
    <w:p w14:paraId="1EFCC3EB" w14:textId="77777777" w:rsidR="00087BAC" w:rsidRPr="00087BAC" w:rsidRDefault="00087BAC" w:rsidP="00087BAC">
      <w:pPr>
        <w:spacing w:after="0" w:line="240" w:lineRule="auto"/>
        <w:jc w:val="both"/>
        <w:rPr>
          <w:rFonts w:ascii="Arial" w:hAnsi="Arial" w:cs="Arial"/>
          <w:i/>
          <w:sz w:val="24"/>
          <w:szCs w:val="24"/>
          <w:lang w:val="es-419"/>
        </w:rPr>
      </w:pPr>
      <w:r w:rsidRPr="00087BAC">
        <w:rPr>
          <w:rFonts w:ascii="Arial" w:hAnsi="Arial" w:cs="Arial"/>
          <w:i/>
          <w:iCs/>
          <w:sz w:val="20"/>
          <w:szCs w:val="20"/>
        </w:rPr>
        <w:t>Características de la muestra</w:t>
      </w:r>
    </w:p>
    <w:tbl>
      <w:tblPr>
        <w:tblW w:w="9071" w:type="dxa"/>
        <w:jc w:val="center"/>
        <w:tblCellMar>
          <w:left w:w="70" w:type="dxa"/>
          <w:right w:w="70" w:type="dxa"/>
        </w:tblCellMar>
        <w:tblLook w:val="04A0" w:firstRow="1" w:lastRow="0" w:firstColumn="1" w:lastColumn="0" w:noHBand="0" w:noVBand="1"/>
      </w:tblPr>
      <w:tblGrid>
        <w:gridCol w:w="975"/>
        <w:gridCol w:w="1108"/>
        <w:gridCol w:w="887"/>
        <w:gridCol w:w="979"/>
        <w:gridCol w:w="952"/>
        <w:gridCol w:w="1344"/>
        <w:gridCol w:w="1207"/>
        <w:gridCol w:w="952"/>
        <w:gridCol w:w="667"/>
      </w:tblGrid>
      <w:tr w:rsidR="00087BAC" w:rsidRPr="00087BAC" w14:paraId="4EBEF95E" w14:textId="77777777" w:rsidTr="004B6BFC">
        <w:trPr>
          <w:trHeight w:val="525"/>
          <w:jc w:val="center"/>
        </w:trPr>
        <w:tc>
          <w:tcPr>
            <w:tcW w:w="1002" w:type="dxa"/>
            <w:tcBorders>
              <w:top w:val="single" w:sz="4" w:space="0" w:color="auto"/>
              <w:left w:val="nil"/>
              <w:bottom w:val="single" w:sz="4" w:space="0" w:color="auto"/>
              <w:right w:val="nil"/>
            </w:tcBorders>
            <w:vAlign w:val="center"/>
            <w:hideMark/>
          </w:tcPr>
          <w:p w14:paraId="61F4D241" w14:textId="77777777" w:rsidR="00087BAC" w:rsidRPr="00087BAC" w:rsidRDefault="00087BAC" w:rsidP="004B6BFC">
            <w:pPr>
              <w:spacing w:after="0" w:line="240" w:lineRule="auto"/>
              <w:rPr>
                <w:rFonts w:ascii="Arial" w:eastAsia="Times New Roman" w:hAnsi="Arial" w:cs="Arial"/>
                <w:b/>
                <w:bCs/>
                <w:color w:val="000000"/>
                <w:sz w:val="20"/>
                <w:szCs w:val="20"/>
                <w:lang w:val="es-419" w:eastAsia="es-419"/>
              </w:rPr>
            </w:pPr>
            <w:r w:rsidRPr="00087BAC">
              <w:rPr>
                <w:rFonts w:ascii="Arial" w:eastAsia="Times New Roman" w:hAnsi="Arial" w:cs="Arial"/>
                <w:b/>
                <w:bCs/>
                <w:color w:val="000000"/>
                <w:sz w:val="20"/>
                <w:szCs w:val="20"/>
                <w:lang w:val="en-US" w:eastAsia="es-419"/>
              </w:rPr>
              <w:t>Variable</w:t>
            </w:r>
          </w:p>
        </w:tc>
        <w:tc>
          <w:tcPr>
            <w:tcW w:w="1939" w:type="dxa"/>
            <w:gridSpan w:val="2"/>
            <w:tcBorders>
              <w:top w:val="single" w:sz="4" w:space="0" w:color="auto"/>
              <w:left w:val="nil"/>
              <w:bottom w:val="single" w:sz="4" w:space="0" w:color="auto"/>
              <w:right w:val="nil"/>
            </w:tcBorders>
            <w:vAlign w:val="center"/>
            <w:hideMark/>
          </w:tcPr>
          <w:p w14:paraId="0832F72F" w14:textId="77777777" w:rsidR="00087BAC" w:rsidRPr="00087BAC" w:rsidRDefault="00087BAC" w:rsidP="004B6BFC">
            <w:pPr>
              <w:spacing w:after="0" w:line="240" w:lineRule="auto"/>
              <w:rPr>
                <w:rFonts w:ascii="Arial" w:eastAsia="Times New Roman" w:hAnsi="Arial" w:cs="Arial"/>
                <w:b/>
                <w:bCs/>
                <w:color w:val="000000"/>
                <w:sz w:val="20"/>
                <w:szCs w:val="20"/>
                <w:lang w:val="es-419" w:eastAsia="es-419"/>
              </w:rPr>
            </w:pPr>
            <w:r w:rsidRPr="00087BAC">
              <w:rPr>
                <w:rFonts w:ascii="Arial" w:eastAsia="Times New Roman" w:hAnsi="Arial" w:cs="Arial"/>
                <w:b/>
                <w:bCs/>
                <w:color w:val="000000"/>
                <w:sz w:val="20"/>
                <w:szCs w:val="20"/>
                <w:lang w:eastAsia="es-419"/>
              </w:rPr>
              <w:t xml:space="preserve">Padres y madre viven juntos </w:t>
            </w:r>
          </w:p>
        </w:tc>
        <w:tc>
          <w:tcPr>
            <w:tcW w:w="1951" w:type="dxa"/>
            <w:gridSpan w:val="2"/>
            <w:tcBorders>
              <w:top w:val="single" w:sz="4" w:space="0" w:color="auto"/>
              <w:left w:val="nil"/>
              <w:bottom w:val="single" w:sz="4" w:space="0" w:color="auto"/>
              <w:right w:val="nil"/>
            </w:tcBorders>
            <w:vAlign w:val="center"/>
            <w:hideMark/>
          </w:tcPr>
          <w:p w14:paraId="26418B4F" w14:textId="77777777" w:rsidR="00087BAC" w:rsidRPr="00087BAC" w:rsidRDefault="00087BAC" w:rsidP="004B6BFC">
            <w:pPr>
              <w:spacing w:after="0" w:line="240" w:lineRule="auto"/>
              <w:rPr>
                <w:rFonts w:ascii="Arial" w:eastAsia="Times New Roman" w:hAnsi="Arial" w:cs="Arial"/>
                <w:b/>
                <w:bCs/>
                <w:color w:val="000000"/>
                <w:sz w:val="20"/>
                <w:szCs w:val="20"/>
                <w:lang w:eastAsia="es-419"/>
              </w:rPr>
            </w:pPr>
            <w:r w:rsidRPr="00087BAC">
              <w:rPr>
                <w:rFonts w:ascii="Arial" w:eastAsia="Times New Roman" w:hAnsi="Arial" w:cs="Arial"/>
                <w:b/>
                <w:bCs/>
                <w:color w:val="000000"/>
                <w:sz w:val="20"/>
                <w:szCs w:val="20"/>
                <w:lang w:eastAsia="es-419"/>
              </w:rPr>
              <w:t xml:space="preserve">Deseo de estudiar una carrera </w:t>
            </w:r>
          </w:p>
        </w:tc>
        <w:tc>
          <w:tcPr>
            <w:tcW w:w="1416" w:type="dxa"/>
            <w:tcBorders>
              <w:top w:val="single" w:sz="4" w:space="0" w:color="auto"/>
              <w:left w:val="nil"/>
              <w:bottom w:val="single" w:sz="4" w:space="0" w:color="auto"/>
              <w:right w:val="nil"/>
            </w:tcBorders>
          </w:tcPr>
          <w:p w14:paraId="3B8A293F" w14:textId="77777777" w:rsidR="00087BAC" w:rsidRPr="00087BAC" w:rsidRDefault="00087BAC" w:rsidP="004B6BFC">
            <w:pPr>
              <w:spacing w:after="0" w:line="240" w:lineRule="auto"/>
              <w:rPr>
                <w:rFonts w:ascii="Arial" w:eastAsia="Times New Roman" w:hAnsi="Arial" w:cs="Arial"/>
                <w:b/>
                <w:bCs/>
                <w:color w:val="000000"/>
                <w:sz w:val="20"/>
                <w:szCs w:val="20"/>
                <w:lang w:val="en-US" w:eastAsia="es-419"/>
              </w:rPr>
            </w:pPr>
            <w:r w:rsidRPr="00087BAC">
              <w:rPr>
                <w:rFonts w:ascii="Arial" w:eastAsia="Times New Roman" w:hAnsi="Arial" w:cs="Arial"/>
                <w:b/>
                <w:bCs/>
                <w:color w:val="000000"/>
                <w:sz w:val="20"/>
                <w:szCs w:val="20"/>
                <w:lang w:val="en-US" w:eastAsia="es-419"/>
              </w:rPr>
              <w:t>Nivel socio económico</w:t>
            </w:r>
          </w:p>
        </w:tc>
        <w:tc>
          <w:tcPr>
            <w:tcW w:w="921" w:type="dxa"/>
            <w:tcBorders>
              <w:top w:val="single" w:sz="4" w:space="0" w:color="auto"/>
              <w:left w:val="nil"/>
              <w:bottom w:val="single" w:sz="4" w:space="0" w:color="auto"/>
              <w:right w:val="nil"/>
            </w:tcBorders>
          </w:tcPr>
          <w:p w14:paraId="3E5D1DAB" w14:textId="77777777" w:rsidR="00087BAC" w:rsidRPr="00087BAC" w:rsidRDefault="00087BAC" w:rsidP="004B6BFC">
            <w:pPr>
              <w:spacing w:after="0" w:line="240" w:lineRule="auto"/>
              <w:rPr>
                <w:rFonts w:ascii="Arial" w:eastAsia="Times New Roman" w:hAnsi="Arial" w:cs="Arial"/>
                <w:b/>
                <w:bCs/>
                <w:color w:val="000000"/>
                <w:sz w:val="20"/>
                <w:szCs w:val="20"/>
                <w:lang w:val="en-US" w:eastAsia="es-419"/>
              </w:rPr>
            </w:pPr>
            <w:r w:rsidRPr="00087BAC">
              <w:rPr>
                <w:rFonts w:ascii="Arial" w:eastAsia="Times New Roman" w:hAnsi="Arial" w:cs="Arial"/>
                <w:b/>
                <w:bCs/>
                <w:color w:val="000000"/>
                <w:sz w:val="20"/>
                <w:szCs w:val="20"/>
                <w:lang w:val="en-US" w:eastAsia="es-419"/>
              </w:rPr>
              <w:t>Se consideran honestas</w:t>
            </w:r>
          </w:p>
        </w:tc>
        <w:tc>
          <w:tcPr>
            <w:tcW w:w="921" w:type="dxa"/>
            <w:tcBorders>
              <w:top w:val="single" w:sz="4" w:space="0" w:color="auto"/>
              <w:left w:val="nil"/>
              <w:bottom w:val="single" w:sz="4" w:space="0" w:color="auto"/>
              <w:right w:val="nil"/>
            </w:tcBorders>
          </w:tcPr>
          <w:p w14:paraId="1548036A" w14:textId="77777777" w:rsidR="00087BAC" w:rsidRPr="00087BAC" w:rsidRDefault="00087BAC" w:rsidP="004B6BFC">
            <w:pPr>
              <w:spacing w:after="0" w:line="240" w:lineRule="auto"/>
              <w:rPr>
                <w:rFonts w:ascii="Arial" w:eastAsia="Times New Roman" w:hAnsi="Arial" w:cs="Arial"/>
                <w:b/>
                <w:bCs/>
                <w:color w:val="000000"/>
                <w:sz w:val="20"/>
                <w:szCs w:val="20"/>
                <w:lang w:val="en-US" w:eastAsia="es-419"/>
              </w:rPr>
            </w:pPr>
            <w:r w:rsidRPr="00087BAC">
              <w:rPr>
                <w:rFonts w:ascii="Arial" w:eastAsia="Times New Roman" w:hAnsi="Arial" w:cs="Arial"/>
                <w:b/>
                <w:bCs/>
                <w:color w:val="000000"/>
                <w:sz w:val="20"/>
                <w:szCs w:val="20"/>
                <w:lang w:val="en-US" w:eastAsia="es-419"/>
              </w:rPr>
              <w:t>Sexo</w:t>
            </w:r>
          </w:p>
        </w:tc>
        <w:tc>
          <w:tcPr>
            <w:tcW w:w="921" w:type="dxa"/>
            <w:tcBorders>
              <w:top w:val="single" w:sz="4" w:space="0" w:color="auto"/>
              <w:left w:val="nil"/>
              <w:bottom w:val="single" w:sz="4" w:space="0" w:color="auto"/>
              <w:right w:val="nil"/>
            </w:tcBorders>
          </w:tcPr>
          <w:p w14:paraId="06B7A844" w14:textId="77777777" w:rsidR="00087BAC" w:rsidRPr="00087BAC" w:rsidRDefault="00087BAC" w:rsidP="004B6BFC">
            <w:pPr>
              <w:spacing w:after="0" w:line="240" w:lineRule="auto"/>
              <w:rPr>
                <w:rFonts w:ascii="Arial" w:eastAsia="Times New Roman" w:hAnsi="Arial" w:cs="Arial"/>
                <w:color w:val="000000"/>
                <w:sz w:val="20"/>
                <w:szCs w:val="20"/>
                <w:lang w:val="en-US" w:eastAsia="es-419"/>
              </w:rPr>
            </w:pPr>
          </w:p>
        </w:tc>
      </w:tr>
      <w:tr w:rsidR="00087BAC" w:rsidRPr="00087BAC" w14:paraId="4ECC9829" w14:textId="77777777" w:rsidTr="004B6BFC">
        <w:trPr>
          <w:trHeight w:val="525"/>
          <w:jc w:val="center"/>
        </w:trPr>
        <w:tc>
          <w:tcPr>
            <w:tcW w:w="1002" w:type="dxa"/>
            <w:vMerge w:val="restart"/>
            <w:tcBorders>
              <w:top w:val="single" w:sz="4" w:space="0" w:color="auto"/>
              <w:left w:val="nil"/>
              <w:bottom w:val="single" w:sz="8" w:space="0" w:color="auto"/>
              <w:right w:val="nil"/>
            </w:tcBorders>
            <w:vAlign w:val="center"/>
            <w:hideMark/>
          </w:tcPr>
          <w:p w14:paraId="0F715BA0" w14:textId="77777777" w:rsidR="00087BAC" w:rsidRPr="00087BAC" w:rsidRDefault="00087BAC" w:rsidP="004B6BFC">
            <w:pPr>
              <w:spacing w:after="0" w:line="240" w:lineRule="auto"/>
              <w:rPr>
                <w:rFonts w:ascii="Arial" w:eastAsia="Times New Roman" w:hAnsi="Arial" w:cs="Arial"/>
                <w:color w:val="000000"/>
                <w:sz w:val="20"/>
                <w:szCs w:val="20"/>
                <w:lang w:val="es-419" w:eastAsia="es-419"/>
              </w:rPr>
            </w:pPr>
          </w:p>
        </w:tc>
        <w:tc>
          <w:tcPr>
            <w:tcW w:w="1029" w:type="dxa"/>
            <w:tcBorders>
              <w:top w:val="single" w:sz="4" w:space="0" w:color="auto"/>
              <w:left w:val="nil"/>
              <w:bottom w:val="nil"/>
              <w:right w:val="nil"/>
            </w:tcBorders>
            <w:vAlign w:val="center"/>
            <w:hideMark/>
          </w:tcPr>
          <w:p w14:paraId="0AD4BFC0" w14:textId="77777777" w:rsidR="00087BAC" w:rsidRPr="00087BAC" w:rsidRDefault="00087BAC" w:rsidP="004B6BFC">
            <w:pPr>
              <w:spacing w:after="0" w:line="240" w:lineRule="auto"/>
              <w:rPr>
                <w:rFonts w:ascii="Arial" w:eastAsia="Times New Roman" w:hAnsi="Arial" w:cs="Arial"/>
                <w:color w:val="000000"/>
                <w:sz w:val="20"/>
                <w:szCs w:val="20"/>
                <w:lang w:val="es-419" w:eastAsia="es-419"/>
              </w:rPr>
            </w:pPr>
            <w:r w:rsidRPr="00087BAC">
              <w:rPr>
                <w:rFonts w:ascii="Arial" w:eastAsia="Times New Roman" w:hAnsi="Arial" w:cs="Arial"/>
                <w:color w:val="000000"/>
                <w:sz w:val="20"/>
                <w:szCs w:val="20"/>
                <w:lang w:val="en-US" w:eastAsia="es-419"/>
              </w:rPr>
              <w:t>Juntos</w:t>
            </w:r>
          </w:p>
        </w:tc>
        <w:tc>
          <w:tcPr>
            <w:tcW w:w="910" w:type="dxa"/>
            <w:tcBorders>
              <w:top w:val="single" w:sz="4" w:space="0" w:color="auto"/>
              <w:left w:val="nil"/>
              <w:bottom w:val="nil"/>
              <w:right w:val="nil"/>
            </w:tcBorders>
            <w:vAlign w:val="center"/>
            <w:hideMark/>
          </w:tcPr>
          <w:p w14:paraId="1ECCEC30" w14:textId="77777777" w:rsidR="00087BAC" w:rsidRPr="00087BAC" w:rsidRDefault="00087BAC" w:rsidP="004B6BFC">
            <w:pPr>
              <w:spacing w:after="0" w:line="240" w:lineRule="auto"/>
              <w:rPr>
                <w:rFonts w:ascii="Arial" w:eastAsia="Times New Roman" w:hAnsi="Arial" w:cs="Arial"/>
                <w:i/>
                <w:iCs/>
                <w:color w:val="000000"/>
                <w:sz w:val="20"/>
                <w:szCs w:val="20"/>
                <w:lang w:val="es-419" w:eastAsia="es-419"/>
              </w:rPr>
            </w:pPr>
            <w:r w:rsidRPr="00087BAC">
              <w:rPr>
                <w:rFonts w:ascii="Arial" w:eastAsia="Times New Roman" w:hAnsi="Arial" w:cs="Arial"/>
                <w:i/>
                <w:iCs/>
                <w:color w:val="000000"/>
                <w:sz w:val="20"/>
                <w:szCs w:val="20"/>
                <w:lang w:val="en-US" w:eastAsia="es-419"/>
              </w:rPr>
              <w:t xml:space="preserve">n = </w:t>
            </w:r>
            <w:r w:rsidRPr="00087BAC">
              <w:rPr>
                <w:rFonts w:ascii="Arial" w:eastAsia="Times New Roman" w:hAnsi="Arial" w:cs="Arial"/>
                <w:color w:val="000000"/>
                <w:sz w:val="20"/>
                <w:szCs w:val="20"/>
                <w:lang w:val="en-US" w:eastAsia="es-419"/>
              </w:rPr>
              <w:t>632 (74%)</w:t>
            </w:r>
          </w:p>
        </w:tc>
        <w:tc>
          <w:tcPr>
            <w:tcW w:w="1041" w:type="dxa"/>
            <w:tcBorders>
              <w:top w:val="single" w:sz="4" w:space="0" w:color="auto"/>
              <w:left w:val="nil"/>
              <w:bottom w:val="nil"/>
              <w:right w:val="nil"/>
            </w:tcBorders>
            <w:vAlign w:val="center"/>
            <w:hideMark/>
          </w:tcPr>
          <w:p w14:paraId="368DB332" w14:textId="77777777" w:rsidR="00087BAC" w:rsidRPr="00087BAC" w:rsidRDefault="00087BAC" w:rsidP="004B6BFC">
            <w:pPr>
              <w:spacing w:after="0" w:line="240" w:lineRule="auto"/>
              <w:rPr>
                <w:rFonts w:ascii="Arial" w:eastAsia="Times New Roman" w:hAnsi="Arial" w:cs="Arial"/>
                <w:color w:val="000000"/>
                <w:sz w:val="20"/>
                <w:szCs w:val="20"/>
                <w:lang w:val="es-419" w:eastAsia="es-419"/>
              </w:rPr>
            </w:pPr>
            <w:r w:rsidRPr="00087BAC">
              <w:rPr>
                <w:rFonts w:ascii="Arial" w:eastAsia="Times New Roman" w:hAnsi="Arial" w:cs="Arial"/>
                <w:color w:val="000000"/>
                <w:sz w:val="20"/>
                <w:szCs w:val="20"/>
                <w:lang w:val="en-US" w:eastAsia="es-419"/>
              </w:rPr>
              <w:t xml:space="preserve">Desean estudiar </w:t>
            </w:r>
          </w:p>
        </w:tc>
        <w:tc>
          <w:tcPr>
            <w:tcW w:w="910" w:type="dxa"/>
            <w:tcBorders>
              <w:top w:val="single" w:sz="4" w:space="0" w:color="auto"/>
              <w:left w:val="nil"/>
              <w:right w:val="nil"/>
            </w:tcBorders>
            <w:vAlign w:val="center"/>
            <w:hideMark/>
          </w:tcPr>
          <w:p w14:paraId="7520631F" w14:textId="77777777" w:rsidR="00087BAC" w:rsidRPr="00087BAC" w:rsidRDefault="00087BAC" w:rsidP="004B6BFC">
            <w:pPr>
              <w:spacing w:after="0" w:line="240" w:lineRule="auto"/>
              <w:rPr>
                <w:rFonts w:ascii="Arial" w:eastAsia="Times New Roman" w:hAnsi="Arial" w:cs="Arial"/>
                <w:color w:val="000000"/>
                <w:sz w:val="20"/>
                <w:szCs w:val="20"/>
                <w:lang w:val="es-419" w:eastAsia="es-419"/>
              </w:rPr>
            </w:pPr>
            <w:r w:rsidRPr="00087BAC">
              <w:rPr>
                <w:rFonts w:ascii="Arial" w:eastAsia="Times New Roman" w:hAnsi="Arial" w:cs="Arial"/>
                <w:color w:val="000000"/>
                <w:sz w:val="20"/>
                <w:szCs w:val="20"/>
                <w:lang w:val="en-US" w:eastAsia="es-419"/>
              </w:rPr>
              <w:t>n = 823 (93.85%)</w:t>
            </w:r>
          </w:p>
        </w:tc>
        <w:tc>
          <w:tcPr>
            <w:tcW w:w="1416" w:type="dxa"/>
            <w:tcBorders>
              <w:top w:val="single" w:sz="4" w:space="0" w:color="auto"/>
              <w:left w:val="nil"/>
              <w:right w:val="nil"/>
            </w:tcBorders>
          </w:tcPr>
          <w:p w14:paraId="768793EB"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Bajo</w:t>
            </w:r>
          </w:p>
          <w:p w14:paraId="4A42A1B8"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5 (.6%)</w:t>
            </w:r>
          </w:p>
          <w:p w14:paraId="7942F9B7"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Medio bajo 48 (5.6%)</w:t>
            </w:r>
          </w:p>
          <w:p w14:paraId="1972D493"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Medio</w:t>
            </w:r>
          </w:p>
          <w:p w14:paraId="6551BEE0"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574 (67.3%)</w:t>
            </w:r>
          </w:p>
          <w:p w14:paraId="0C148F6A"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 xml:space="preserve">Medio Alto </w:t>
            </w:r>
          </w:p>
        </w:tc>
        <w:tc>
          <w:tcPr>
            <w:tcW w:w="921" w:type="dxa"/>
            <w:tcBorders>
              <w:top w:val="single" w:sz="4" w:space="0" w:color="auto"/>
              <w:left w:val="nil"/>
              <w:right w:val="nil"/>
            </w:tcBorders>
          </w:tcPr>
          <w:p w14:paraId="0BCE888A"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 xml:space="preserve">Si </w:t>
            </w:r>
          </w:p>
          <w:p w14:paraId="0D58BE00"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779</w:t>
            </w:r>
          </w:p>
          <w:p w14:paraId="207DAB64"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 xml:space="preserve">(90.27%)    </w:t>
            </w:r>
          </w:p>
          <w:p w14:paraId="1024E74F" w14:textId="77777777" w:rsidR="00087BAC" w:rsidRPr="00087BAC" w:rsidRDefault="00087BAC" w:rsidP="004B6BFC">
            <w:pPr>
              <w:spacing w:after="0" w:line="240" w:lineRule="auto"/>
              <w:rPr>
                <w:rFonts w:ascii="Arial" w:eastAsia="Times New Roman" w:hAnsi="Arial" w:cs="Arial"/>
                <w:color w:val="000000"/>
                <w:sz w:val="20"/>
                <w:szCs w:val="20"/>
                <w:lang w:eastAsia="es-419"/>
              </w:rPr>
            </w:pPr>
          </w:p>
          <w:p w14:paraId="72CA7C37"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No</w:t>
            </w:r>
          </w:p>
          <w:p w14:paraId="5D0C44DD"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84</w:t>
            </w:r>
          </w:p>
          <w:p w14:paraId="3ABAA7EE"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(9.73%)</w:t>
            </w:r>
          </w:p>
        </w:tc>
        <w:tc>
          <w:tcPr>
            <w:tcW w:w="921" w:type="dxa"/>
            <w:tcBorders>
              <w:top w:val="single" w:sz="4" w:space="0" w:color="auto"/>
              <w:left w:val="nil"/>
              <w:right w:val="nil"/>
            </w:tcBorders>
          </w:tcPr>
          <w:p w14:paraId="25C9208A"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Hombre 406</w:t>
            </w:r>
          </w:p>
          <w:p w14:paraId="2FF2281F" w14:textId="77777777" w:rsidR="00087BAC" w:rsidRPr="00087BAC" w:rsidRDefault="00087BAC" w:rsidP="004B6BFC">
            <w:pPr>
              <w:spacing w:after="0" w:line="240" w:lineRule="auto"/>
              <w:rPr>
                <w:rFonts w:ascii="Arial" w:eastAsia="Times New Roman" w:hAnsi="Arial" w:cs="Arial"/>
                <w:color w:val="000000"/>
                <w:sz w:val="20"/>
                <w:szCs w:val="20"/>
                <w:lang w:eastAsia="es-419"/>
              </w:rPr>
            </w:pPr>
            <w:r w:rsidRPr="00087BAC">
              <w:rPr>
                <w:rFonts w:ascii="Arial" w:eastAsia="Times New Roman" w:hAnsi="Arial" w:cs="Arial"/>
                <w:color w:val="000000"/>
                <w:sz w:val="20"/>
                <w:szCs w:val="20"/>
                <w:lang w:eastAsia="es-419"/>
              </w:rPr>
              <w:t>(46.51%)</w:t>
            </w:r>
          </w:p>
        </w:tc>
        <w:tc>
          <w:tcPr>
            <w:tcW w:w="921" w:type="dxa"/>
            <w:tcBorders>
              <w:top w:val="single" w:sz="4" w:space="0" w:color="auto"/>
              <w:left w:val="nil"/>
              <w:right w:val="nil"/>
            </w:tcBorders>
          </w:tcPr>
          <w:p w14:paraId="77FA0CDE" w14:textId="77777777" w:rsidR="00087BAC" w:rsidRPr="00087BAC" w:rsidRDefault="00087BAC" w:rsidP="004B6BFC">
            <w:pPr>
              <w:spacing w:after="0" w:line="240" w:lineRule="auto"/>
              <w:rPr>
                <w:rFonts w:ascii="Arial" w:eastAsia="Times New Roman" w:hAnsi="Arial" w:cs="Arial"/>
                <w:i/>
                <w:iCs/>
                <w:color w:val="000000"/>
                <w:sz w:val="20"/>
                <w:szCs w:val="20"/>
                <w:lang w:eastAsia="es-419"/>
              </w:rPr>
            </w:pPr>
          </w:p>
        </w:tc>
      </w:tr>
      <w:tr w:rsidR="00087BAC" w:rsidRPr="00087BAC" w14:paraId="673FB198" w14:textId="77777777" w:rsidTr="004B6BFC">
        <w:trPr>
          <w:trHeight w:val="525"/>
          <w:jc w:val="center"/>
        </w:trPr>
        <w:tc>
          <w:tcPr>
            <w:tcW w:w="1002" w:type="dxa"/>
            <w:vMerge/>
            <w:tcBorders>
              <w:left w:val="nil"/>
              <w:bottom w:val="single" w:sz="4" w:space="0" w:color="auto"/>
              <w:right w:val="nil"/>
            </w:tcBorders>
            <w:vAlign w:val="center"/>
            <w:hideMark/>
          </w:tcPr>
          <w:p w14:paraId="19F62BF2" w14:textId="77777777" w:rsidR="00087BAC" w:rsidRPr="00087BAC" w:rsidRDefault="00087BAC" w:rsidP="004B6BFC">
            <w:pPr>
              <w:spacing w:after="0" w:line="240" w:lineRule="auto"/>
              <w:rPr>
                <w:rFonts w:ascii="Arial" w:eastAsia="Times New Roman" w:hAnsi="Arial" w:cs="Arial"/>
                <w:color w:val="000000"/>
                <w:sz w:val="20"/>
                <w:szCs w:val="20"/>
                <w:lang w:eastAsia="es-419"/>
              </w:rPr>
            </w:pPr>
          </w:p>
        </w:tc>
        <w:tc>
          <w:tcPr>
            <w:tcW w:w="1029" w:type="dxa"/>
            <w:tcBorders>
              <w:left w:val="nil"/>
              <w:bottom w:val="single" w:sz="4" w:space="0" w:color="auto"/>
              <w:right w:val="nil"/>
            </w:tcBorders>
            <w:vAlign w:val="center"/>
            <w:hideMark/>
          </w:tcPr>
          <w:p w14:paraId="1400AE98" w14:textId="77777777" w:rsidR="00087BAC" w:rsidRPr="00087BAC" w:rsidRDefault="00087BAC" w:rsidP="004B6BFC">
            <w:pPr>
              <w:spacing w:after="0" w:line="240" w:lineRule="auto"/>
              <w:rPr>
                <w:rFonts w:ascii="Arial" w:eastAsia="Times New Roman" w:hAnsi="Arial" w:cs="Arial"/>
                <w:color w:val="000000"/>
                <w:sz w:val="20"/>
                <w:szCs w:val="20"/>
                <w:lang w:val="es-419" w:eastAsia="es-419"/>
              </w:rPr>
            </w:pPr>
            <w:r w:rsidRPr="00087BAC">
              <w:rPr>
                <w:rFonts w:ascii="Arial" w:eastAsia="Times New Roman" w:hAnsi="Arial" w:cs="Arial"/>
                <w:color w:val="000000"/>
                <w:sz w:val="20"/>
                <w:szCs w:val="20"/>
                <w:lang w:val="en-US" w:eastAsia="es-419"/>
              </w:rPr>
              <w:t>Separados</w:t>
            </w:r>
          </w:p>
        </w:tc>
        <w:tc>
          <w:tcPr>
            <w:tcW w:w="910" w:type="dxa"/>
            <w:tcBorders>
              <w:left w:val="nil"/>
              <w:bottom w:val="single" w:sz="4" w:space="0" w:color="auto"/>
              <w:right w:val="nil"/>
            </w:tcBorders>
            <w:vAlign w:val="center"/>
            <w:hideMark/>
          </w:tcPr>
          <w:p w14:paraId="7936C239" w14:textId="77777777" w:rsidR="00087BAC" w:rsidRPr="00087BAC" w:rsidRDefault="00087BAC" w:rsidP="004B6BFC">
            <w:pPr>
              <w:spacing w:after="0" w:line="240" w:lineRule="auto"/>
              <w:rPr>
                <w:rFonts w:ascii="Arial" w:eastAsia="Times New Roman" w:hAnsi="Arial" w:cs="Arial"/>
                <w:i/>
                <w:iCs/>
                <w:color w:val="000000"/>
                <w:sz w:val="20"/>
                <w:szCs w:val="20"/>
                <w:lang w:val="es-419" w:eastAsia="es-419"/>
              </w:rPr>
            </w:pPr>
            <w:r w:rsidRPr="00087BAC">
              <w:rPr>
                <w:rFonts w:ascii="Arial" w:eastAsia="Times New Roman" w:hAnsi="Arial" w:cs="Arial"/>
                <w:i/>
                <w:iCs/>
                <w:color w:val="000000"/>
                <w:sz w:val="20"/>
                <w:szCs w:val="20"/>
                <w:lang w:val="en-US" w:eastAsia="es-419"/>
              </w:rPr>
              <w:t xml:space="preserve">n </w:t>
            </w:r>
            <w:r w:rsidRPr="00087BAC">
              <w:rPr>
                <w:rFonts w:ascii="Arial" w:eastAsia="Times New Roman" w:hAnsi="Arial" w:cs="Arial"/>
                <w:color w:val="000000"/>
                <w:sz w:val="20"/>
                <w:szCs w:val="20"/>
                <w:lang w:val="en-US" w:eastAsia="es-419"/>
              </w:rPr>
              <w:t>= 220 (25.8%)</w:t>
            </w:r>
          </w:p>
        </w:tc>
        <w:tc>
          <w:tcPr>
            <w:tcW w:w="1041" w:type="dxa"/>
            <w:tcBorders>
              <w:left w:val="nil"/>
              <w:bottom w:val="single" w:sz="4" w:space="0" w:color="auto"/>
              <w:right w:val="nil"/>
            </w:tcBorders>
            <w:vAlign w:val="center"/>
            <w:hideMark/>
          </w:tcPr>
          <w:p w14:paraId="44C61013" w14:textId="77777777" w:rsidR="00087BAC" w:rsidRPr="00087BAC" w:rsidRDefault="00087BAC" w:rsidP="004B6BFC">
            <w:pPr>
              <w:spacing w:after="0" w:line="240" w:lineRule="auto"/>
              <w:rPr>
                <w:rFonts w:ascii="Arial" w:eastAsia="Times New Roman" w:hAnsi="Arial" w:cs="Arial"/>
                <w:color w:val="000000"/>
                <w:sz w:val="20"/>
                <w:szCs w:val="20"/>
                <w:lang w:val="es-419" w:eastAsia="es-419"/>
              </w:rPr>
            </w:pPr>
            <w:r w:rsidRPr="00087BAC">
              <w:rPr>
                <w:rFonts w:ascii="Arial" w:eastAsia="Times New Roman" w:hAnsi="Arial" w:cs="Arial"/>
                <w:color w:val="000000"/>
                <w:sz w:val="20"/>
                <w:szCs w:val="20"/>
                <w:lang w:val="en-US" w:eastAsia="es-419"/>
              </w:rPr>
              <w:t>No Desean estudiar</w:t>
            </w:r>
          </w:p>
        </w:tc>
        <w:tc>
          <w:tcPr>
            <w:tcW w:w="910" w:type="dxa"/>
            <w:tcBorders>
              <w:left w:val="nil"/>
              <w:bottom w:val="single" w:sz="4" w:space="0" w:color="auto"/>
              <w:right w:val="nil"/>
            </w:tcBorders>
            <w:vAlign w:val="center"/>
            <w:hideMark/>
          </w:tcPr>
          <w:p w14:paraId="7D637D0B" w14:textId="77777777" w:rsidR="00087BAC" w:rsidRPr="00087BAC" w:rsidRDefault="00087BAC" w:rsidP="004B6BFC">
            <w:pPr>
              <w:spacing w:after="0" w:line="240" w:lineRule="auto"/>
              <w:rPr>
                <w:rFonts w:ascii="Arial" w:eastAsia="Times New Roman" w:hAnsi="Arial" w:cs="Arial"/>
                <w:color w:val="000000"/>
                <w:sz w:val="20"/>
                <w:szCs w:val="20"/>
                <w:lang w:val="es-419" w:eastAsia="es-419"/>
              </w:rPr>
            </w:pPr>
            <w:r w:rsidRPr="00087BAC">
              <w:rPr>
                <w:rFonts w:ascii="Arial" w:eastAsia="Times New Roman" w:hAnsi="Arial" w:cs="Arial"/>
                <w:color w:val="000000"/>
                <w:sz w:val="20"/>
                <w:szCs w:val="20"/>
                <w:lang w:val="en-US" w:eastAsia="es-419"/>
              </w:rPr>
              <w:t xml:space="preserve">n = 54 (6.15%) </w:t>
            </w:r>
          </w:p>
        </w:tc>
        <w:tc>
          <w:tcPr>
            <w:tcW w:w="1416" w:type="dxa"/>
            <w:tcBorders>
              <w:left w:val="nil"/>
              <w:bottom w:val="single" w:sz="4" w:space="0" w:color="auto"/>
              <w:right w:val="nil"/>
            </w:tcBorders>
          </w:tcPr>
          <w:p w14:paraId="6CC10E86" w14:textId="77777777" w:rsidR="00087BAC" w:rsidRPr="00087BAC" w:rsidRDefault="00087BAC" w:rsidP="004B6BFC">
            <w:pPr>
              <w:spacing w:after="0" w:line="240" w:lineRule="auto"/>
              <w:rPr>
                <w:rFonts w:ascii="Arial" w:eastAsia="Times New Roman" w:hAnsi="Arial" w:cs="Arial"/>
                <w:color w:val="000000"/>
                <w:sz w:val="20"/>
                <w:szCs w:val="20"/>
                <w:lang w:val="en-US" w:eastAsia="es-419"/>
              </w:rPr>
            </w:pPr>
            <w:r w:rsidRPr="00087BAC">
              <w:rPr>
                <w:rFonts w:ascii="Arial" w:eastAsia="Times New Roman" w:hAnsi="Arial" w:cs="Arial"/>
                <w:color w:val="000000"/>
                <w:sz w:val="20"/>
                <w:szCs w:val="20"/>
                <w:lang w:val="en-US" w:eastAsia="es-419"/>
              </w:rPr>
              <w:t>211 (24.7%)</w:t>
            </w:r>
          </w:p>
          <w:p w14:paraId="45570A83" w14:textId="77777777" w:rsidR="00087BAC" w:rsidRPr="00087BAC" w:rsidRDefault="00087BAC" w:rsidP="004B6BFC">
            <w:pPr>
              <w:spacing w:after="0" w:line="240" w:lineRule="auto"/>
              <w:rPr>
                <w:rFonts w:ascii="Arial" w:eastAsia="Times New Roman" w:hAnsi="Arial" w:cs="Arial"/>
                <w:color w:val="000000"/>
                <w:sz w:val="20"/>
                <w:szCs w:val="20"/>
                <w:lang w:val="en-US" w:eastAsia="es-419"/>
              </w:rPr>
            </w:pPr>
            <w:r w:rsidRPr="00087BAC">
              <w:rPr>
                <w:rFonts w:ascii="Arial" w:eastAsia="Times New Roman" w:hAnsi="Arial" w:cs="Arial"/>
                <w:color w:val="000000"/>
                <w:sz w:val="20"/>
                <w:szCs w:val="20"/>
                <w:lang w:val="en-US" w:eastAsia="es-419"/>
              </w:rPr>
              <w:t>Alto</w:t>
            </w:r>
          </w:p>
          <w:p w14:paraId="373B29B8" w14:textId="77777777" w:rsidR="00087BAC" w:rsidRPr="00087BAC" w:rsidRDefault="00087BAC" w:rsidP="004B6BFC">
            <w:pPr>
              <w:spacing w:after="0" w:line="240" w:lineRule="auto"/>
              <w:rPr>
                <w:rFonts w:ascii="Arial" w:eastAsia="Times New Roman" w:hAnsi="Arial" w:cs="Arial"/>
                <w:color w:val="000000"/>
                <w:sz w:val="20"/>
                <w:szCs w:val="20"/>
                <w:lang w:val="en-US" w:eastAsia="es-419"/>
              </w:rPr>
            </w:pPr>
            <w:r w:rsidRPr="00087BAC">
              <w:rPr>
                <w:rFonts w:ascii="Arial" w:eastAsia="Times New Roman" w:hAnsi="Arial" w:cs="Arial"/>
                <w:color w:val="000000"/>
                <w:sz w:val="20"/>
                <w:szCs w:val="20"/>
                <w:lang w:val="en-US" w:eastAsia="es-419"/>
              </w:rPr>
              <w:t>14 (1.6%)</w:t>
            </w:r>
          </w:p>
        </w:tc>
        <w:tc>
          <w:tcPr>
            <w:tcW w:w="921" w:type="dxa"/>
            <w:tcBorders>
              <w:left w:val="nil"/>
              <w:bottom w:val="single" w:sz="4" w:space="0" w:color="auto"/>
              <w:right w:val="nil"/>
            </w:tcBorders>
          </w:tcPr>
          <w:p w14:paraId="73BC416C" w14:textId="77777777" w:rsidR="00087BAC" w:rsidRPr="00087BAC" w:rsidRDefault="00087BAC" w:rsidP="004B6BFC">
            <w:pPr>
              <w:spacing w:after="0" w:line="240" w:lineRule="auto"/>
              <w:rPr>
                <w:rFonts w:ascii="Arial" w:eastAsia="Times New Roman" w:hAnsi="Arial" w:cs="Arial"/>
                <w:color w:val="000000"/>
                <w:sz w:val="20"/>
                <w:szCs w:val="20"/>
                <w:lang w:val="en-US" w:eastAsia="es-419"/>
              </w:rPr>
            </w:pPr>
          </w:p>
        </w:tc>
        <w:tc>
          <w:tcPr>
            <w:tcW w:w="921" w:type="dxa"/>
            <w:tcBorders>
              <w:left w:val="nil"/>
              <w:bottom w:val="single" w:sz="4" w:space="0" w:color="auto"/>
              <w:right w:val="nil"/>
            </w:tcBorders>
          </w:tcPr>
          <w:p w14:paraId="1826B450" w14:textId="77777777" w:rsidR="00087BAC" w:rsidRPr="00087BAC" w:rsidRDefault="00087BAC" w:rsidP="004B6BFC">
            <w:pPr>
              <w:spacing w:after="0" w:line="240" w:lineRule="auto"/>
              <w:rPr>
                <w:rFonts w:ascii="Arial" w:eastAsia="Times New Roman" w:hAnsi="Arial" w:cs="Arial"/>
                <w:color w:val="000000"/>
                <w:sz w:val="20"/>
                <w:szCs w:val="20"/>
                <w:lang w:val="en-US" w:eastAsia="es-419"/>
              </w:rPr>
            </w:pPr>
            <w:r w:rsidRPr="00087BAC">
              <w:rPr>
                <w:rFonts w:ascii="Arial" w:eastAsia="Times New Roman" w:hAnsi="Arial" w:cs="Arial"/>
                <w:color w:val="000000"/>
                <w:sz w:val="20"/>
                <w:szCs w:val="20"/>
                <w:lang w:val="en-US" w:eastAsia="es-419"/>
              </w:rPr>
              <w:t xml:space="preserve">Mujer </w:t>
            </w:r>
          </w:p>
          <w:p w14:paraId="1FE02014" w14:textId="77777777" w:rsidR="00087BAC" w:rsidRPr="00087BAC" w:rsidRDefault="00087BAC" w:rsidP="004B6BFC">
            <w:pPr>
              <w:spacing w:after="0" w:line="240" w:lineRule="auto"/>
              <w:rPr>
                <w:rFonts w:ascii="Arial" w:eastAsia="Times New Roman" w:hAnsi="Arial" w:cs="Arial"/>
                <w:color w:val="000000"/>
                <w:sz w:val="20"/>
                <w:szCs w:val="20"/>
                <w:lang w:val="en-US" w:eastAsia="es-419"/>
              </w:rPr>
            </w:pPr>
            <w:r w:rsidRPr="00087BAC">
              <w:rPr>
                <w:rFonts w:ascii="Arial" w:eastAsia="Times New Roman" w:hAnsi="Arial" w:cs="Arial"/>
                <w:color w:val="000000"/>
                <w:sz w:val="20"/>
                <w:szCs w:val="20"/>
                <w:lang w:val="en-US" w:eastAsia="es-419"/>
              </w:rPr>
              <w:t>467</w:t>
            </w:r>
          </w:p>
          <w:p w14:paraId="743B6FE3" w14:textId="77777777" w:rsidR="00087BAC" w:rsidRPr="00087BAC" w:rsidRDefault="00087BAC" w:rsidP="004B6BFC">
            <w:pPr>
              <w:spacing w:after="0" w:line="240" w:lineRule="auto"/>
              <w:rPr>
                <w:rFonts w:ascii="Arial" w:eastAsia="Times New Roman" w:hAnsi="Arial" w:cs="Arial"/>
                <w:color w:val="000000"/>
                <w:sz w:val="20"/>
                <w:szCs w:val="20"/>
                <w:lang w:val="en-US" w:eastAsia="es-419"/>
              </w:rPr>
            </w:pPr>
            <w:r w:rsidRPr="00087BAC">
              <w:rPr>
                <w:rFonts w:ascii="Arial" w:eastAsia="Times New Roman" w:hAnsi="Arial" w:cs="Arial"/>
                <w:color w:val="000000"/>
                <w:sz w:val="20"/>
                <w:szCs w:val="20"/>
                <w:lang w:eastAsia="es-419"/>
              </w:rPr>
              <w:t>(53.49%)</w:t>
            </w:r>
          </w:p>
        </w:tc>
        <w:tc>
          <w:tcPr>
            <w:tcW w:w="921" w:type="dxa"/>
            <w:tcBorders>
              <w:left w:val="nil"/>
              <w:bottom w:val="single" w:sz="4" w:space="0" w:color="auto"/>
              <w:right w:val="nil"/>
            </w:tcBorders>
          </w:tcPr>
          <w:p w14:paraId="27404264" w14:textId="77777777" w:rsidR="00087BAC" w:rsidRPr="00087BAC" w:rsidRDefault="00087BAC" w:rsidP="004B6BFC">
            <w:pPr>
              <w:spacing w:after="0" w:line="240" w:lineRule="auto"/>
              <w:rPr>
                <w:rFonts w:ascii="Arial" w:eastAsia="Times New Roman" w:hAnsi="Arial" w:cs="Arial"/>
                <w:i/>
                <w:iCs/>
                <w:color w:val="000000"/>
                <w:sz w:val="20"/>
                <w:szCs w:val="20"/>
                <w:lang w:val="en-US" w:eastAsia="es-419"/>
              </w:rPr>
            </w:pPr>
          </w:p>
        </w:tc>
      </w:tr>
    </w:tbl>
    <w:p w14:paraId="118D0810" w14:textId="77777777" w:rsidR="00087BAC" w:rsidRPr="00087BAC" w:rsidRDefault="00087BAC" w:rsidP="00087BAC">
      <w:pPr>
        <w:spacing w:after="0" w:line="240" w:lineRule="auto"/>
        <w:contextualSpacing/>
        <w:jc w:val="both"/>
        <w:rPr>
          <w:rFonts w:ascii="Arial" w:hAnsi="Arial" w:cs="Arial"/>
          <w:sz w:val="24"/>
          <w:szCs w:val="24"/>
        </w:rPr>
      </w:pPr>
    </w:p>
    <w:p w14:paraId="6A7AFA3E" w14:textId="77777777" w:rsidR="00087BAC" w:rsidRPr="00087BAC" w:rsidRDefault="00087BAC" w:rsidP="00087BAC">
      <w:pPr>
        <w:spacing w:after="0" w:line="240" w:lineRule="auto"/>
        <w:ind w:firstLine="708"/>
        <w:contextualSpacing/>
        <w:jc w:val="both"/>
        <w:rPr>
          <w:rFonts w:ascii="Arial" w:hAnsi="Arial" w:cs="Arial"/>
          <w:sz w:val="24"/>
          <w:szCs w:val="24"/>
        </w:rPr>
      </w:pPr>
      <w:r w:rsidRPr="00087BAC">
        <w:rPr>
          <w:rFonts w:ascii="Arial" w:hAnsi="Arial" w:cs="Arial"/>
          <w:sz w:val="24"/>
          <w:szCs w:val="24"/>
        </w:rPr>
        <w:t xml:space="preserve">Como primer resultado comparativo se encontró que del total de la escala de creencias de violencia estructural 22.30 gl= 2 (p&lt;.001) con un </w:t>
      </w:r>
      <w:r w:rsidRPr="00087BAC">
        <w:rPr>
          <w:rFonts w:ascii="Arial" w:hAnsi="Arial" w:cs="Arial"/>
          <w:sz w:val="24"/>
          <w:szCs w:val="24"/>
          <w:lang w:val="en-US"/>
        </w:rPr>
        <w:t>Ѡ</w:t>
      </w:r>
      <w:r w:rsidRPr="00087BAC">
        <w:rPr>
          <w:rFonts w:ascii="Arial" w:hAnsi="Arial" w:cs="Arial"/>
          <w:sz w:val="24"/>
          <w:szCs w:val="24"/>
          <w:vertAlign w:val="superscript"/>
        </w:rPr>
        <w:t>2</w:t>
      </w:r>
      <w:r w:rsidRPr="00087BAC">
        <w:rPr>
          <w:rFonts w:ascii="Arial" w:hAnsi="Arial" w:cs="Arial"/>
          <w:sz w:val="24"/>
          <w:szCs w:val="24"/>
        </w:rPr>
        <w:t xml:space="preserve"> = .05 entre instituciones, se puede apreciar el Post Hoc en la Tabla 2 que, si bien se reporta entre grupos un tamaño del efecto bajo, al comparar con d de cohen el grupo de la particular y el de preparación (M= 26.86; DE 7.02) se encuentra un tamaño del efecto medio, con mayor puntaje en la institución particular (M= 31.29; DE 7.66). Se aprecia esta misma distribución en </w:t>
      </w:r>
      <w:bookmarkStart w:id="4" w:name="_Hlk143931598"/>
      <w:r w:rsidRPr="00087BAC">
        <w:rPr>
          <w:rFonts w:ascii="Arial" w:hAnsi="Arial" w:cs="Arial"/>
          <w:i/>
          <w:iCs/>
          <w:sz w:val="24"/>
          <w:szCs w:val="24"/>
        </w:rPr>
        <w:t>las creencias de inequidad y prejuicio sobre las personas con menos recursos (clasismo)</w:t>
      </w:r>
      <w:r w:rsidRPr="00087BAC">
        <w:rPr>
          <w:rFonts w:ascii="Arial" w:hAnsi="Arial" w:cs="Arial"/>
          <w:sz w:val="24"/>
          <w:szCs w:val="24"/>
        </w:rPr>
        <w:t xml:space="preserve"> pero con diferencias significativas también con la institución privada como más alta (</w:t>
      </w:r>
      <w:bookmarkEnd w:id="4"/>
      <w:r w:rsidRPr="00087BAC">
        <w:rPr>
          <w:rFonts w:ascii="Arial" w:hAnsi="Arial" w:cs="Arial"/>
          <w:sz w:val="24"/>
          <w:szCs w:val="24"/>
        </w:rPr>
        <w:t>M= 14.33; DE 3.89) con diferencia de d= .38 con la pública (M= 12.86; DE 3.99) y d=.78</w:t>
      </w:r>
      <w:r w:rsidRPr="00087BAC">
        <w:rPr>
          <w:rFonts w:ascii="Arial" w:hAnsi="Arial" w:cs="Arial"/>
          <w:i/>
          <w:iCs/>
          <w:sz w:val="24"/>
          <w:szCs w:val="24"/>
        </w:rPr>
        <w:t xml:space="preserve"> con la de preparación </w:t>
      </w:r>
      <w:r w:rsidRPr="00087BAC">
        <w:rPr>
          <w:rFonts w:ascii="Arial" w:hAnsi="Arial" w:cs="Arial"/>
          <w:sz w:val="24"/>
          <w:szCs w:val="24"/>
        </w:rPr>
        <w:t>(M= 11.29; DE 3.76) y entre las dos últimas un tamaño de efecto bajo. En el factor de privilegiar a la clase dominante no se encuentran diferencias significativas entre las tres instituciones, pero, si en el interés en igualdad de oportunidades, en la que obtiene puntajes más elevados la institución pública (este es un factor invertido, por lo que los puntajes implican que existe menor interés en ellas y por tanto mayor cantidad de creencias que van en contra de la igualdad de oportunidades), obteniendo una media de 4.09, DE 2.07 en contraste con 3 .81, DE 1.79 67 (d=15 p&lt;.01) de la particular y 3.2 DE 1. de la institución de preparación para la universidad (d=0.47 p&lt;.001). Es decir, con un tamaño de efecto bajo pero significativo.</w:t>
      </w:r>
    </w:p>
    <w:p w14:paraId="0ADF11B7" w14:textId="501F91D7" w:rsidR="00087BAC" w:rsidRPr="00087BAC" w:rsidRDefault="00087BAC" w:rsidP="00087BAC">
      <w:pPr>
        <w:spacing w:after="0" w:line="240" w:lineRule="auto"/>
        <w:ind w:firstLine="425"/>
        <w:contextualSpacing/>
        <w:jc w:val="both"/>
        <w:rPr>
          <w:rFonts w:ascii="Arial" w:hAnsi="Arial" w:cs="Arial"/>
          <w:sz w:val="24"/>
          <w:szCs w:val="24"/>
        </w:rPr>
      </w:pPr>
      <w:r w:rsidRPr="00087BAC">
        <w:rPr>
          <w:rFonts w:ascii="Arial" w:hAnsi="Arial" w:cs="Arial"/>
          <w:sz w:val="24"/>
          <w:szCs w:val="24"/>
        </w:rPr>
        <w:t xml:space="preserve">Lo anterior resulta interesante </w:t>
      </w:r>
      <w:bookmarkStart w:id="5" w:name="_Hlk143931605"/>
      <w:r w:rsidRPr="00087BAC">
        <w:rPr>
          <w:rFonts w:ascii="Arial" w:hAnsi="Arial" w:cs="Arial"/>
          <w:sz w:val="24"/>
          <w:szCs w:val="24"/>
        </w:rPr>
        <w:t xml:space="preserve">ya que la clase dominante presenta mayor violencia estructural en el total y en clasismo como lo plantea Galtung (2016) parte de los efectos de la violencia estructural, también, resulta de interés que exista una naturalización de la violencia estructural en la igualdad de oportunidades en la institución pública, lo cual también, hace pertinente el estudio de las creencias relacionadas a este fenómeno, pues, la desigualdad se perpetua a través de ellas, incluso podría convertirse en una forma de autodominio y perpetuación, </w:t>
      </w:r>
      <w:bookmarkEnd w:id="5"/>
      <w:r w:rsidRPr="00087BAC">
        <w:rPr>
          <w:rFonts w:ascii="Arial" w:hAnsi="Arial" w:cs="Arial"/>
          <w:sz w:val="24"/>
          <w:szCs w:val="24"/>
        </w:rPr>
        <w:t xml:space="preserve">dichas creencias se encuentran en el trabajo de Galán et al. (2023), sin embargo, van en opuesto a lo que la mayoría de los artículos reportan como el ensayo de Rivera-Acevedo (2016) quien afirma </w:t>
      </w:r>
      <w:bookmarkStart w:id="6" w:name="_Hlk143931614"/>
      <w:r w:rsidRPr="00087BAC">
        <w:rPr>
          <w:rFonts w:ascii="Arial" w:hAnsi="Arial" w:cs="Arial"/>
          <w:sz w:val="24"/>
          <w:szCs w:val="24"/>
        </w:rPr>
        <w:t>que las creencias que legitiman la violencia son las que promueven su justificación e incremento, e</w:t>
      </w:r>
      <w:bookmarkEnd w:id="6"/>
      <w:r w:rsidRPr="00087BAC">
        <w:rPr>
          <w:rFonts w:ascii="Arial" w:hAnsi="Arial" w:cs="Arial"/>
          <w:sz w:val="24"/>
          <w:szCs w:val="24"/>
        </w:rPr>
        <w:t xml:space="preserve">n estos hallazgos se permite atender </w:t>
      </w:r>
      <w:bookmarkStart w:id="7" w:name="_Hlk143931622"/>
      <w:r w:rsidRPr="00087BAC">
        <w:rPr>
          <w:rFonts w:ascii="Arial" w:hAnsi="Arial" w:cs="Arial"/>
          <w:sz w:val="24"/>
          <w:szCs w:val="24"/>
        </w:rPr>
        <w:t xml:space="preserve">a que la violencia estructural puede legitimarse con las creencias de amplios segmentos de la población. </w:t>
      </w:r>
      <w:bookmarkEnd w:id="7"/>
      <w:r w:rsidRPr="00087BAC">
        <w:rPr>
          <w:rFonts w:ascii="Arial" w:hAnsi="Arial" w:cs="Arial"/>
          <w:sz w:val="24"/>
          <w:szCs w:val="24"/>
        </w:rPr>
        <w:t>Sea que</w:t>
      </w:r>
      <w:r w:rsidR="001D40D8">
        <w:rPr>
          <w:rFonts w:ascii="Arial" w:hAnsi="Arial" w:cs="Arial"/>
          <w:sz w:val="24"/>
          <w:szCs w:val="24"/>
        </w:rPr>
        <w:t xml:space="preserve"> las creencias perpetúen la violencia estructural o que, al contrario, sea</w:t>
      </w:r>
      <w:r w:rsidRPr="00087BAC">
        <w:rPr>
          <w:rFonts w:ascii="Arial" w:hAnsi="Arial" w:cs="Arial"/>
          <w:sz w:val="24"/>
          <w:szCs w:val="24"/>
        </w:rPr>
        <w:t xml:space="preserve"> destacable la relación inequívoca entre ambas, en </w:t>
      </w:r>
      <w:r w:rsidR="001D40D8">
        <w:rPr>
          <w:rFonts w:ascii="Arial" w:hAnsi="Arial" w:cs="Arial"/>
          <w:sz w:val="24"/>
          <w:szCs w:val="24"/>
        </w:rPr>
        <w:t>la que</w:t>
      </w:r>
      <w:r w:rsidRPr="00087BAC">
        <w:rPr>
          <w:rFonts w:ascii="Arial" w:hAnsi="Arial" w:cs="Arial"/>
          <w:sz w:val="24"/>
          <w:szCs w:val="24"/>
        </w:rPr>
        <w:t xml:space="preserve"> la violencia opera como mecanismo de poder y control.</w:t>
      </w:r>
    </w:p>
    <w:p w14:paraId="2AB75041" w14:textId="77777777" w:rsidR="00087BAC" w:rsidRPr="00087BAC" w:rsidRDefault="00087BAC" w:rsidP="00087BAC">
      <w:pPr>
        <w:spacing w:after="0" w:line="240" w:lineRule="auto"/>
        <w:contextualSpacing/>
        <w:jc w:val="both"/>
        <w:rPr>
          <w:rFonts w:ascii="Arial" w:hAnsi="Arial" w:cs="Arial"/>
          <w:sz w:val="24"/>
          <w:szCs w:val="24"/>
        </w:rPr>
      </w:pPr>
      <w:r w:rsidRPr="00087BAC">
        <w:rPr>
          <w:rFonts w:ascii="Arial" w:hAnsi="Arial" w:cs="Arial"/>
          <w:sz w:val="24"/>
          <w:szCs w:val="24"/>
        </w:rPr>
        <w:t xml:space="preserve">  </w:t>
      </w:r>
    </w:p>
    <w:p w14:paraId="558E9EFC" w14:textId="77777777" w:rsidR="00087BAC" w:rsidRPr="00087BAC" w:rsidRDefault="00087BAC" w:rsidP="00087BAC">
      <w:pPr>
        <w:spacing w:after="0" w:line="240" w:lineRule="auto"/>
        <w:contextualSpacing/>
        <w:jc w:val="both"/>
        <w:rPr>
          <w:rFonts w:ascii="Arial" w:hAnsi="Arial" w:cs="Arial"/>
          <w:b/>
          <w:bCs/>
          <w:sz w:val="20"/>
          <w:szCs w:val="20"/>
        </w:rPr>
      </w:pPr>
      <w:r w:rsidRPr="00087BAC">
        <w:rPr>
          <w:rFonts w:ascii="Arial" w:hAnsi="Arial" w:cs="Arial"/>
          <w:b/>
          <w:bCs/>
          <w:sz w:val="20"/>
          <w:szCs w:val="20"/>
        </w:rPr>
        <w:t xml:space="preserve">Tabla 2. </w:t>
      </w:r>
    </w:p>
    <w:p w14:paraId="5B760D6D" w14:textId="58178F4B" w:rsidR="00087BAC" w:rsidRPr="00087BAC" w:rsidRDefault="00087BAC" w:rsidP="00087BAC">
      <w:pPr>
        <w:spacing w:after="0" w:line="240" w:lineRule="auto"/>
        <w:contextualSpacing/>
        <w:jc w:val="both"/>
        <w:rPr>
          <w:rFonts w:ascii="Arial" w:hAnsi="Arial" w:cs="Arial"/>
          <w:i/>
          <w:iCs/>
          <w:sz w:val="20"/>
          <w:szCs w:val="20"/>
        </w:rPr>
      </w:pPr>
      <w:r w:rsidRPr="00087BAC">
        <w:rPr>
          <w:rFonts w:ascii="Arial" w:hAnsi="Arial" w:cs="Arial"/>
          <w:i/>
          <w:iCs/>
          <w:sz w:val="20"/>
          <w:szCs w:val="20"/>
        </w:rPr>
        <w:t>Post Hoc del total de creencias de violencia estructural entre instituciones</w:t>
      </w:r>
    </w:p>
    <w:tbl>
      <w:tblPr>
        <w:tblW w:w="0" w:type="auto"/>
        <w:jc w:val="center"/>
        <w:tblCellMar>
          <w:left w:w="70" w:type="dxa"/>
          <w:right w:w="70" w:type="dxa"/>
        </w:tblCellMar>
        <w:tblLook w:val="04A0" w:firstRow="1" w:lastRow="0" w:firstColumn="1" w:lastColumn="0" w:noHBand="0" w:noVBand="1"/>
      </w:tblPr>
      <w:tblGrid>
        <w:gridCol w:w="985"/>
        <w:gridCol w:w="1219"/>
        <w:gridCol w:w="1230"/>
        <w:gridCol w:w="596"/>
        <w:gridCol w:w="530"/>
        <w:gridCol w:w="530"/>
        <w:gridCol w:w="530"/>
        <w:gridCol w:w="1229"/>
        <w:gridCol w:w="596"/>
        <w:gridCol w:w="530"/>
      </w:tblGrid>
      <w:tr w:rsidR="00087BAC" w:rsidRPr="00087BAC" w14:paraId="7FBF08C5" w14:textId="77777777" w:rsidTr="004B6BFC">
        <w:trPr>
          <w:trHeight w:val="300"/>
          <w:jc w:val="center"/>
        </w:trPr>
        <w:tc>
          <w:tcPr>
            <w:tcW w:w="0" w:type="auto"/>
            <w:tcBorders>
              <w:top w:val="single" w:sz="8" w:space="0" w:color="000000"/>
              <w:left w:val="nil"/>
              <w:bottom w:val="nil"/>
              <w:right w:val="nil"/>
            </w:tcBorders>
            <w:vAlign w:val="center"/>
            <w:hideMark/>
          </w:tcPr>
          <w:p w14:paraId="5AEDED4E"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c>
          <w:tcPr>
            <w:tcW w:w="0" w:type="auto"/>
            <w:tcBorders>
              <w:top w:val="single" w:sz="8" w:space="0" w:color="000000"/>
              <w:left w:val="nil"/>
              <w:bottom w:val="nil"/>
              <w:right w:val="nil"/>
            </w:tcBorders>
            <w:vAlign w:val="center"/>
            <w:hideMark/>
          </w:tcPr>
          <w:p w14:paraId="74B5B9F3"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c>
          <w:tcPr>
            <w:tcW w:w="0" w:type="auto"/>
            <w:tcBorders>
              <w:top w:val="single" w:sz="8" w:space="0" w:color="000000"/>
              <w:left w:val="nil"/>
              <w:bottom w:val="nil"/>
              <w:right w:val="nil"/>
            </w:tcBorders>
            <w:vAlign w:val="center"/>
            <w:hideMark/>
          </w:tcPr>
          <w:p w14:paraId="7AAB9FB4"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xml:space="preserve"> Diferencia </w:t>
            </w:r>
          </w:p>
        </w:tc>
        <w:tc>
          <w:tcPr>
            <w:tcW w:w="0" w:type="auto"/>
            <w:gridSpan w:val="2"/>
            <w:tcBorders>
              <w:top w:val="single" w:sz="4" w:space="0" w:color="auto"/>
              <w:left w:val="nil"/>
              <w:bottom w:val="single" w:sz="8" w:space="0" w:color="000000"/>
              <w:right w:val="nil"/>
            </w:tcBorders>
            <w:vAlign w:val="center"/>
            <w:hideMark/>
          </w:tcPr>
          <w:p w14:paraId="251AA31F" w14:textId="77777777" w:rsidR="00087BAC" w:rsidRPr="00087BAC" w:rsidRDefault="00087BAC" w:rsidP="004B6BFC">
            <w:pPr>
              <w:spacing w:after="0" w:line="240" w:lineRule="auto"/>
              <w:jc w:val="center"/>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I.C. 95%</w:t>
            </w:r>
          </w:p>
        </w:tc>
        <w:tc>
          <w:tcPr>
            <w:tcW w:w="0" w:type="auto"/>
            <w:tcBorders>
              <w:top w:val="single" w:sz="4" w:space="0" w:color="auto"/>
              <w:left w:val="nil"/>
              <w:bottom w:val="nil"/>
              <w:right w:val="nil"/>
            </w:tcBorders>
            <w:vAlign w:val="center"/>
            <w:hideMark/>
          </w:tcPr>
          <w:p w14:paraId="09F090F1"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c>
          <w:tcPr>
            <w:tcW w:w="0" w:type="auto"/>
            <w:tcBorders>
              <w:top w:val="single" w:sz="4" w:space="0" w:color="auto"/>
              <w:left w:val="nil"/>
              <w:bottom w:val="nil"/>
              <w:right w:val="nil"/>
            </w:tcBorders>
            <w:noWrap/>
            <w:vAlign w:val="bottom"/>
            <w:hideMark/>
          </w:tcPr>
          <w:p w14:paraId="6CF51543"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p>
        </w:tc>
        <w:tc>
          <w:tcPr>
            <w:tcW w:w="0" w:type="auto"/>
            <w:tcBorders>
              <w:top w:val="single" w:sz="4" w:space="0" w:color="auto"/>
              <w:left w:val="nil"/>
              <w:bottom w:val="single" w:sz="8" w:space="0" w:color="000000"/>
              <w:right w:val="nil"/>
            </w:tcBorders>
            <w:vAlign w:val="center"/>
            <w:hideMark/>
          </w:tcPr>
          <w:p w14:paraId="113D8F86"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c>
          <w:tcPr>
            <w:tcW w:w="0" w:type="auto"/>
            <w:gridSpan w:val="2"/>
            <w:tcBorders>
              <w:top w:val="single" w:sz="8" w:space="0" w:color="000000"/>
              <w:left w:val="nil"/>
              <w:bottom w:val="single" w:sz="8" w:space="0" w:color="000000"/>
              <w:right w:val="nil"/>
            </w:tcBorders>
            <w:vAlign w:val="center"/>
            <w:hideMark/>
          </w:tcPr>
          <w:p w14:paraId="01B7B59D" w14:textId="77777777" w:rsidR="00087BAC" w:rsidRPr="00087BAC" w:rsidRDefault="00087BAC" w:rsidP="004B6BFC">
            <w:pPr>
              <w:spacing w:after="0" w:line="240" w:lineRule="auto"/>
              <w:jc w:val="center"/>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I.C. 95%</w:t>
            </w:r>
          </w:p>
        </w:tc>
      </w:tr>
      <w:tr w:rsidR="00087BAC" w:rsidRPr="00087BAC" w14:paraId="5765EA96" w14:textId="77777777" w:rsidTr="004B6BFC">
        <w:trPr>
          <w:trHeight w:val="312"/>
          <w:jc w:val="center"/>
        </w:trPr>
        <w:tc>
          <w:tcPr>
            <w:tcW w:w="0" w:type="auto"/>
            <w:gridSpan w:val="2"/>
            <w:tcBorders>
              <w:top w:val="nil"/>
              <w:left w:val="nil"/>
              <w:bottom w:val="single" w:sz="8" w:space="0" w:color="000000"/>
              <w:right w:val="nil"/>
            </w:tcBorders>
            <w:vAlign w:val="center"/>
            <w:hideMark/>
          </w:tcPr>
          <w:p w14:paraId="5EC06B5F" w14:textId="77777777" w:rsidR="00087BAC" w:rsidRPr="00087BAC" w:rsidRDefault="00087BAC" w:rsidP="004B6BFC">
            <w:pPr>
              <w:spacing w:after="0" w:line="240" w:lineRule="auto"/>
              <w:jc w:val="center"/>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xml:space="preserve">Institución </w:t>
            </w:r>
          </w:p>
        </w:tc>
        <w:tc>
          <w:tcPr>
            <w:tcW w:w="0" w:type="auto"/>
            <w:tcBorders>
              <w:top w:val="nil"/>
              <w:left w:val="nil"/>
              <w:bottom w:val="single" w:sz="8" w:space="0" w:color="000000"/>
              <w:right w:val="nil"/>
            </w:tcBorders>
            <w:vAlign w:val="center"/>
            <w:hideMark/>
          </w:tcPr>
          <w:p w14:paraId="16E40B62"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de la media</w:t>
            </w:r>
          </w:p>
        </w:tc>
        <w:tc>
          <w:tcPr>
            <w:tcW w:w="0" w:type="auto"/>
            <w:tcBorders>
              <w:top w:val="nil"/>
              <w:left w:val="nil"/>
              <w:bottom w:val="single" w:sz="8" w:space="0" w:color="000000"/>
              <w:right w:val="nil"/>
            </w:tcBorders>
            <w:vAlign w:val="center"/>
            <w:hideMark/>
          </w:tcPr>
          <w:p w14:paraId="45956958"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Bajo</w:t>
            </w:r>
          </w:p>
        </w:tc>
        <w:tc>
          <w:tcPr>
            <w:tcW w:w="0" w:type="auto"/>
            <w:tcBorders>
              <w:top w:val="nil"/>
              <w:left w:val="nil"/>
              <w:bottom w:val="single" w:sz="8" w:space="0" w:color="000000"/>
              <w:right w:val="nil"/>
            </w:tcBorders>
            <w:vAlign w:val="center"/>
            <w:hideMark/>
          </w:tcPr>
          <w:p w14:paraId="0FF73E65"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alto</w:t>
            </w:r>
          </w:p>
        </w:tc>
        <w:tc>
          <w:tcPr>
            <w:tcW w:w="0" w:type="auto"/>
            <w:tcBorders>
              <w:top w:val="nil"/>
              <w:left w:val="nil"/>
              <w:bottom w:val="single" w:sz="8" w:space="0" w:color="000000"/>
              <w:right w:val="nil"/>
            </w:tcBorders>
            <w:vAlign w:val="center"/>
            <w:hideMark/>
          </w:tcPr>
          <w:p w14:paraId="1B2171F9"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ES</w:t>
            </w:r>
          </w:p>
        </w:tc>
        <w:tc>
          <w:tcPr>
            <w:tcW w:w="0" w:type="auto"/>
            <w:tcBorders>
              <w:top w:val="nil"/>
              <w:left w:val="nil"/>
              <w:bottom w:val="single" w:sz="8" w:space="0" w:color="000000"/>
              <w:right w:val="nil"/>
            </w:tcBorders>
            <w:vAlign w:val="center"/>
            <w:hideMark/>
          </w:tcPr>
          <w:p w14:paraId="6D1E29A8"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t</w:t>
            </w:r>
          </w:p>
        </w:tc>
        <w:tc>
          <w:tcPr>
            <w:tcW w:w="0" w:type="auto"/>
            <w:tcBorders>
              <w:top w:val="nil"/>
              <w:left w:val="nil"/>
              <w:bottom w:val="single" w:sz="8" w:space="0" w:color="000000"/>
              <w:right w:val="nil"/>
            </w:tcBorders>
            <w:vAlign w:val="center"/>
            <w:hideMark/>
          </w:tcPr>
          <w:p w14:paraId="393107D2"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d de Cohen</w:t>
            </w:r>
          </w:p>
        </w:tc>
        <w:tc>
          <w:tcPr>
            <w:tcW w:w="0" w:type="auto"/>
            <w:tcBorders>
              <w:top w:val="nil"/>
              <w:left w:val="nil"/>
              <w:bottom w:val="single" w:sz="8" w:space="0" w:color="000000"/>
              <w:right w:val="nil"/>
            </w:tcBorders>
            <w:vAlign w:val="center"/>
            <w:hideMark/>
          </w:tcPr>
          <w:p w14:paraId="2905CB72"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bajo</w:t>
            </w:r>
          </w:p>
        </w:tc>
        <w:tc>
          <w:tcPr>
            <w:tcW w:w="0" w:type="auto"/>
            <w:tcBorders>
              <w:top w:val="nil"/>
              <w:left w:val="nil"/>
              <w:bottom w:val="single" w:sz="8" w:space="0" w:color="000000"/>
              <w:right w:val="nil"/>
            </w:tcBorders>
            <w:vAlign w:val="center"/>
            <w:hideMark/>
          </w:tcPr>
          <w:p w14:paraId="5E5AAB2E"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alto</w:t>
            </w:r>
          </w:p>
        </w:tc>
      </w:tr>
      <w:tr w:rsidR="00087BAC" w:rsidRPr="00087BAC" w14:paraId="43CC2ABB" w14:textId="77777777" w:rsidTr="004B6BFC">
        <w:trPr>
          <w:trHeight w:val="288"/>
          <w:jc w:val="center"/>
        </w:trPr>
        <w:tc>
          <w:tcPr>
            <w:tcW w:w="0" w:type="auto"/>
            <w:tcBorders>
              <w:top w:val="nil"/>
              <w:left w:val="nil"/>
              <w:bottom w:val="nil"/>
              <w:right w:val="nil"/>
            </w:tcBorders>
            <w:vAlign w:val="center"/>
            <w:hideMark/>
          </w:tcPr>
          <w:p w14:paraId="7BE56563" w14:textId="77777777" w:rsidR="00087BAC" w:rsidRPr="00087BAC" w:rsidRDefault="00087BAC" w:rsidP="004B6BFC">
            <w:pPr>
              <w:spacing w:after="0" w:line="240" w:lineRule="auto"/>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Particular</w:t>
            </w:r>
          </w:p>
        </w:tc>
        <w:tc>
          <w:tcPr>
            <w:tcW w:w="0" w:type="auto"/>
            <w:tcBorders>
              <w:top w:val="nil"/>
              <w:left w:val="nil"/>
              <w:bottom w:val="nil"/>
              <w:right w:val="nil"/>
            </w:tcBorders>
            <w:vAlign w:val="center"/>
            <w:hideMark/>
          </w:tcPr>
          <w:p w14:paraId="2A6F928F" w14:textId="77777777" w:rsidR="00087BAC" w:rsidRPr="00087BAC" w:rsidRDefault="00087BAC" w:rsidP="004B6BFC">
            <w:pPr>
              <w:spacing w:after="0" w:line="240" w:lineRule="auto"/>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Pública</w:t>
            </w:r>
          </w:p>
        </w:tc>
        <w:tc>
          <w:tcPr>
            <w:tcW w:w="0" w:type="auto"/>
            <w:tcBorders>
              <w:top w:val="nil"/>
              <w:left w:val="nil"/>
              <w:bottom w:val="nil"/>
              <w:right w:val="nil"/>
            </w:tcBorders>
            <w:vAlign w:val="center"/>
            <w:hideMark/>
          </w:tcPr>
          <w:p w14:paraId="15563AB7"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1.55</w:t>
            </w:r>
          </w:p>
        </w:tc>
        <w:tc>
          <w:tcPr>
            <w:tcW w:w="0" w:type="auto"/>
            <w:tcBorders>
              <w:top w:val="nil"/>
              <w:left w:val="nil"/>
              <w:bottom w:val="nil"/>
              <w:right w:val="nil"/>
            </w:tcBorders>
            <w:vAlign w:val="center"/>
            <w:hideMark/>
          </w:tcPr>
          <w:p w14:paraId="28172BE4"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-0.11</w:t>
            </w:r>
          </w:p>
        </w:tc>
        <w:tc>
          <w:tcPr>
            <w:tcW w:w="0" w:type="auto"/>
            <w:tcBorders>
              <w:top w:val="nil"/>
              <w:left w:val="nil"/>
              <w:bottom w:val="nil"/>
              <w:right w:val="nil"/>
            </w:tcBorders>
            <w:vAlign w:val="center"/>
            <w:hideMark/>
          </w:tcPr>
          <w:p w14:paraId="1BFB8027"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3.21</w:t>
            </w:r>
          </w:p>
        </w:tc>
        <w:tc>
          <w:tcPr>
            <w:tcW w:w="0" w:type="auto"/>
            <w:tcBorders>
              <w:top w:val="nil"/>
              <w:left w:val="nil"/>
              <w:bottom w:val="nil"/>
              <w:right w:val="nil"/>
            </w:tcBorders>
            <w:vAlign w:val="center"/>
            <w:hideMark/>
          </w:tcPr>
          <w:p w14:paraId="1A702619"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0.71</w:t>
            </w:r>
          </w:p>
        </w:tc>
        <w:tc>
          <w:tcPr>
            <w:tcW w:w="0" w:type="auto"/>
            <w:tcBorders>
              <w:top w:val="nil"/>
              <w:left w:val="nil"/>
              <w:bottom w:val="nil"/>
              <w:right w:val="nil"/>
            </w:tcBorders>
            <w:vAlign w:val="center"/>
            <w:hideMark/>
          </w:tcPr>
          <w:p w14:paraId="5B723CF6"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2.2</w:t>
            </w:r>
          </w:p>
        </w:tc>
        <w:tc>
          <w:tcPr>
            <w:tcW w:w="0" w:type="auto"/>
            <w:tcBorders>
              <w:top w:val="nil"/>
              <w:left w:val="nil"/>
              <w:bottom w:val="nil"/>
              <w:right w:val="nil"/>
            </w:tcBorders>
            <w:vAlign w:val="center"/>
            <w:hideMark/>
          </w:tcPr>
          <w:p w14:paraId="489985D4"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0.21</w:t>
            </w:r>
          </w:p>
        </w:tc>
        <w:tc>
          <w:tcPr>
            <w:tcW w:w="0" w:type="auto"/>
            <w:tcBorders>
              <w:top w:val="nil"/>
              <w:left w:val="nil"/>
              <w:bottom w:val="nil"/>
              <w:right w:val="nil"/>
            </w:tcBorders>
            <w:vAlign w:val="center"/>
            <w:hideMark/>
          </w:tcPr>
          <w:p w14:paraId="44AFF566"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-0.02</w:t>
            </w:r>
          </w:p>
        </w:tc>
        <w:tc>
          <w:tcPr>
            <w:tcW w:w="0" w:type="auto"/>
            <w:tcBorders>
              <w:top w:val="nil"/>
              <w:left w:val="nil"/>
              <w:bottom w:val="nil"/>
              <w:right w:val="nil"/>
            </w:tcBorders>
            <w:vAlign w:val="center"/>
            <w:hideMark/>
          </w:tcPr>
          <w:p w14:paraId="2D662CA9"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0.43</w:t>
            </w:r>
          </w:p>
        </w:tc>
      </w:tr>
      <w:tr w:rsidR="00087BAC" w:rsidRPr="00087BAC" w14:paraId="0DD87AF4" w14:textId="77777777" w:rsidTr="004B6BFC">
        <w:trPr>
          <w:trHeight w:val="288"/>
          <w:jc w:val="center"/>
        </w:trPr>
        <w:tc>
          <w:tcPr>
            <w:tcW w:w="0" w:type="auto"/>
            <w:tcBorders>
              <w:top w:val="nil"/>
              <w:left w:val="nil"/>
              <w:bottom w:val="nil"/>
              <w:right w:val="nil"/>
            </w:tcBorders>
            <w:vAlign w:val="center"/>
            <w:hideMark/>
          </w:tcPr>
          <w:p w14:paraId="0A9031E3"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p>
        </w:tc>
        <w:tc>
          <w:tcPr>
            <w:tcW w:w="0" w:type="auto"/>
            <w:tcBorders>
              <w:top w:val="nil"/>
              <w:left w:val="nil"/>
              <w:bottom w:val="nil"/>
              <w:right w:val="nil"/>
            </w:tcBorders>
            <w:vAlign w:val="center"/>
            <w:hideMark/>
          </w:tcPr>
          <w:p w14:paraId="58D67ECC" w14:textId="77777777" w:rsidR="00087BAC" w:rsidRPr="00087BAC" w:rsidRDefault="00087BAC" w:rsidP="004B6BFC">
            <w:pPr>
              <w:spacing w:after="0" w:line="240" w:lineRule="auto"/>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Preparación</w:t>
            </w:r>
          </w:p>
        </w:tc>
        <w:tc>
          <w:tcPr>
            <w:tcW w:w="0" w:type="auto"/>
            <w:tcBorders>
              <w:top w:val="nil"/>
              <w:left w:val="nil"/>
              <w:bottom w:val="nil"/>
              <w:right w:val="nil"/>
            </w:tcBorders>
            <w:vAlign w:val="center"/>
            <w:hideMark/>
          </w:tcPr>
          <w:p w14:paraId="37CB2DD4"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4.43</w:t>
            </w:r>
          </w:p>
        </w:tc>
        <w:tc>
          <w:tcPr>
            <w:tcW w:w="0" w:type="auto"/>
            <w:tcBorders>
              <w:top w:val="nil"/>
              <w:left w:val="nil"/>
              <w:bottom w:val="nil"/>
              <w:right w:val="nil"/>
            </w:tcBorders>
            <w:vAlign w:val="center"/>
            <w:hideMark/>
          </w:tcPr>
          <w:p w14:paraId="08A9F011"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2.72</w:t>
            </w:r>
          </w:p>
        </w:tc>
        <w:tc>
          <w:tcPr>
            <w:tcW w:w="0" w:type="auto"/>
            <w:tcBorders>
              <w:top w:val="nil"/>
              <w:left w:val="nil"/>
              <w:bottom w:val="nil"/>
              <w:right w:val="nil"/>
            </w:tcBorders>
            <w:vAlign w:val="center"/>
            <w:hideMark/>
          </w:tcPr>
          <w:p w14:paraId="7A6B6BAD"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6.14</w:t>
            </w:r>
          </w:p>
        </w:tc>
        <w:tc>
          <w:tcPr>
            <w:tcW w:w="0" w:type="auto"/>
            <w:tcBorders>
              <w:top w:val="nil"/>
              <w:left w:val="nil"/>
              <w:bottom w:val="nil"/>
              <w:right w:val="nil"/>
            </w:tcBorders>
            <w:vAlign w:val="center"/>
            <w:hideMark/>
          </w:tcPr>
          <w:p w14:paraId="060ED233"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0.73</w:t>
            </w:r>
          </w:p>
        </w:tc>
        <w:tc>
          <w:tcPr>
            <w:tcW w:w="0" w:type="auto"/>
            <w:tcBorders>
              <w:top w:val="nil"/>
              <w:left w:val="nil"/>
              <w:bottom w:val="nil"/>
              <w:right w:val="nil"/>
            </w:tcBorders>
            <w:vAlign w:val="center"/>
            <w:hideMark/>
          </w:tcPr>
          <w:p w14:paraId="01A295DE"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6.07</w:t>
            </w:r>
          </w:p>
        </w:tc>
        <w:tc>
          <w:tcPr>
            <w:tcW w:w="0" w:type="auto"/>
            <w:tcBorders>
              <w:top w:val="nil"/>
              <w:left w:val="nil"/>
              <w:bottom w:val="nil"/>
              <w:right w:val="nil"/>
            </w:tcBorders>
            <w:vAlign w:val="center"/>
            <w:hideMark/>
          </w:tcPr>
          <w:p w14:paraId="555C26FC"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0.59</w:t>
            </w:r>
          </w:p>
        </w:tc>
        <w:tc>
          <w:tcPr>
            <w:tcW w:w="0" w:type="auto"/>
            <w:tcBorders>
              <w:top w:val="nil"/>
              <w:left w:val="nil"/>
              <w:bottom w:val="nil"/>
              <w:right w:val="nil"/>
            </w:tcBorders>
            <w:vAlign w:val="center"/>
            <w:hideMark/>
          </w:tcPr>
          <w:p w14:paraId="4B507A5F"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0.35</w:t>
            </w:r>
          </w:p>
        </w:tc>
        <w:tc>
          <w:tcPr>
            <w:tcW w:w="0" w:type="auto"/>
            <w:tcBorders>
              <w:top w:val="nil"/>
              <w:left w:val="nil"/>
              <w:bottom w:val="nil"/>
              <w:right w:val="nil"/>
            </w:tcBorders>
            <w:vAlign w:val="center"/>
            <w:hideMark/>
          </w:tcPr>
          <w:p w14:paraId="6973783C"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0.82</w:t>
            </w:r>
          </w:p>
        </w:tc>
      </w:tr>
      <w:tr w:rsidR="00087BAC" w:rsidRPr="00087BAC" w14:paraId="17C542C4" w14:textId="77777777" w:rsidTr="004B6BFC">
        <w:trPr>
          <w:trHeight w:val="300"/>
          <w:jc w:val="center"/>
        </w:trPr>
        <w:tc>
          <w:tcPr>
            <w:tcW w:w="0" w:type="auto"/>
            <w:tcBorders>
              <w:top w:val="nil"/>
              <w:left w:val="nil"/>
              <w:bottom w:val="nil"/>
              <w:right w:val="nil"/>
            </w:tcBorders>
            <w:vAlign w:val="center"/>
            <w:hideMark/>
          </w:tcPr>
          <w:p w14:paraId="44F19E5C" w14:textId="77777777" w:rsidR="00087BAC" w:rsidRPr="00087BAC" w:rsidRDefault="00087BAC" w:rsidP="004B6BFC">
            <w:pPr>
              <w:spacing w:after="0" w:line="240" w:lineRule="auto"/>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Pública</w:t>
            </w:r>
          </w:p>
        </w:tc>
        <w:tc>
          <w:tcPr>
            <w:tcW w:w="0" w:type="auto"/>
            <w:tcBorders>
              <w:top w:val="nil"/>
              <w:left w:val="nil"/>
              <w:bottom w:val="nil"/>
              <w:right w:val="nil"/>
            </w:tcBorders>
            <w:vAlign w:val="center"/>
            <w:hideMark/>
          </w:tcPr>
          <w:p w14:paraId="04550059" w14:textId="77777777" w:rsidR="00087BAC" w:rsidRPr="00087BAC" w:rsidRDefault="00087BAC" w:rsidP="004B6BFC">
            <w:pPr>
              <w:spacing w:after="0" w:line="240" w:lineRule="auto"/>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Preparación</w:t>
            </w:r>
          </w:p>
        </w:tc>
        <w:tc>
          <w:tcPr>
            <w:tcW w:w="0" w:type="auto"/>
            <w:tcBorders>
              <w:top w:val="nil"/>
              <w:left w:val="nil"/>
              <w:bottom w:val="nil"/>
              <w:right w:val="nil"/>
            </w:tcBorders>
            <w:vAlign w:val="center"/>
            <w:hideMark/>
          </w:tcPr>
          <w:p w14:paraId="4BFB1067"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2.88</w:t>
            </w:r>
          </w:p>
        </w:tc>
        <w:tc>
          <w:tcPr>
            <w:tcW w:w="0" w:type="auto"/>
            <w:tcBorders>
              <w:top w:val="nil"/>
              <w:left w:val="nil"/>
              <w:bottom w:val="nil"/>
              <w:right w:val="nil"/>
            </w:tcBorders>
            <w:vAlign w:val="center"/>
            <w:hideMark/>
          </w:tcPr>
          <w:p w14:paraId="79B1107D"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1.55</w:t>
            </w:r>
          </w:p>
        </w:tc>
        <w:tc>
          <w:tcPr>
            <w:tcW w:w="0" w:type="auto"/>
            <w:tcBorders>
              <w:top w:val="nil"/>
              <w:left w:val="nil"/>
              <w:bottom w:val="nil"/>
              <w:right w:val="nil"/>
            </w:tcBorders>
            <w:vAlign w:val="center"/>
            <w:hideMark/>
          </w:tcPr>
          <w:p w14:paraId="18D279C8"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4.2</w:t>
            </w:r>
          </w:p>
        </w:tc>
        <w:tc>
          <w:tcPr>
            <w:tcW w:w="0" w:type="auto"/>
            <w:tcBorders>
              <w:top w:val="nil"/>
              <w:left w:val="nil"/>
              <w:bottom w:val="nil"/>
              <w:right w:val="nil"/>
            </w:tcBorders>
            <w:vAlign w:val="center"/>
            <w:hideMark/>
          </w:tcPr>
          <w:p w14:paraId="5D96B68F"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0.56</w:t>
            </w:r>
          </w:p>
        </w:tc>
        <w:tc>
          <w:tcPr>
            <w:tcW w:w="0" w:type="auto"/>
            <w:tcBorders>
              <w:top w:val="nil"/>
              <w:left w:val="nil"/>
              <w:bottom w:val="nil"/>
              <w:right w:val="nil"/>
            </w:tcBorders>
            <w:vAlign w:val="center"/>
            <w:hideMark/>
          </w:tcPr>
          <w:p w14:paraId="79E68208"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5.1</w:t>
            </w:r>
          </w:p>
        </w:tc>
        <w:tc>
          <w:tcPr>
            <w:tcW w:w="0" w:type="auto"/>
            <w:tcBorders>
              <w:top w:val="nil"/>
              <w:left w:val="nil"/>
              <w:bottom w:val="nil"/>
              <w:right w:val="nil"/>
            </w:tcBorders>
            <w:vAlign w:val="center"/>
            <w:hideMark/>
          </w:tcPr>
          <w:p w14:paraId="1B17774D"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0.38</w:t>
            </w:r>
          </w:p>
        </w:tc>
        <w:tc>
          <w:tcPr>
            <w:tcW w:w="0" w:type="auto"/>
            <w:tcBorders>
              <w:top w:val="nil"/>
              <w:left w:val="nil"/>
              <w:bottom w:val="nil"/>
              <w:right w:val="nil"/>
            </w:tcBorders>
            <w:vAlign w:val="center"/>
            <w:hideMark/>
          </w:tcPr>
          <w:p w14:paraId="6E488B54"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0.2</w:t>
            </w:r>
          </w:p>
        </w:tc>
        <w:tc>
          <w:tcPr>
            <w:tcW w:w="0" w:type="auto"/>
            <w:tcBorders>
              <w:top w:val="nil"/>
              <w:left w:val="nil"/>
              <w:bottom w:val="nil"/>
              <w:right w:val="nil"/>
            </w:tcBorders>
            <w:vAlign w:val="center"/>
            <w:hideMark/>
          </w:tcPr>
          <w:p w14:paraId="701604DB"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0.56</w:t>
            </w:r>
          </w:p>
        </w:tc>
      </w:tr>
      <w:tr w:rsidR="00087BAC" w:rsidRPr="00087BAC" w14:paraId="44B89E39" w14:textId="77777777" w:rsidTr="004B6BFC">
        <w:trPr>
          <w:trHeight w:val="288"/>
          <w:jc w:val="center"/>
        </w:trPr>
        <w:tc>
          <w:tcPr>
            <w:tcW w:w="0" w:type="auto"/>
            <w:gridSpan w:val="10"/>
            <w:tcBorders>
              <w:top w:val="single" w:sz="8" w:space="0" w:color="000000"/>
              <w:left w:val="nil"/>
              <w:bottom w:val="nil"/>
              <w:right w:val="nil"/>
            </w:tcBorders>
            <w:vAlign w:val="center"/>
            <w:hideMark/>
          </w:tcPr>
          <w:p w14:paraId="059F20C3" w14:textId="77777777" w:rsidR="00087BAC" w:rsidRPr="00087BAC" w:rsidRDefault="00087BAC" w:rsidP="004B6BFC">
            <w:pPr>
              <w:spacing w:after="0" w:line="240" w:lineRule="auto"/>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 xml:space="preserve">Nota: * p &lt; .05, *** p &lt; .001, se trabajó con p de Tukey. </w:t>
            </w:r>
          </w:p>
        </w:tc>
      </w:tr>
    </w:tbl>
    <w:p w14:paraId="799AD230" w14:textId="77777777" w:rsidR="00087BAC" w:rsidRPr="00087BAC" w:rsidRDefault="00087BAC" w:rsidP="00087BAC">
      <w:pPr>
        <w:spacing w:after="0" w:line="240" w:lineRule="auto"/>
        <w:contextualSpacing/>
        <w:jc w:val="both"/>
        <w:rPr>
          <w:rFonts w:ascii="Arial" w:hAnsi="Arial" w:cs="Arial"/>
          <w:b/>
          <w:bCs/>
          <w:sz w:val="24"/>
          <w:szCs w:val="24"/>
        </w:rPr>
      </w:pPr>
    </w:p>
    <w:p w14:paraId="437E6157" w14:textId="5A6B0BBF" w:rsidR="00087BAC" w:rsidRPr="00087BAC" w:rsidRDefault="00087BAC" w:rsidP="00087BAC">
      <w:pPr>
        <w:spacing w:after="0" w:line="240" w:lineRule="auto"/>
        <w:ind w:firstLine="425"/>
        <w:contextualSpacing/>
        <w:jc w:val="both"/>
        <w:rPr>
          <w:rFonts w:ascii="Arial" w:hAnsi="Arial" w:cs="Arial"/>
          <w:sz w:val="24"/>
          <w:szCs w:val="24"/>
        </w:rPr>
      </w:pPr>
      <w:bookmarkStart w:id="8" w:name="_Hlk143931630"/>
      <w:r w:rsidRPr="00087BAC">
        <w:rPr>
          <w:rFonts w:ascii="Arial" w:hAnsi="Arial" w:cs="Arial"/>
          <w:sz w:val="24"/>
          <w:szCs w:val="24"/>
        </w:rPr>
        <w:lastRenderedPageBreak/>
        <w:t xml:space="preserve">Al comparar el total de violencia estructural por nivel socioeconómico resulta interesante que no </w:t>
      </w:r>
      <w:r w:rsidR="001D40D8">
        <w:rPr>
          <w:rFonts w:ascii="Arial" w:hAnsi="Arial" w:cs="Arial"/>
          <w:sz w:val="24"/>
          <w:szCs w:val="24"/>
        </w:rPr>
        <w:t>haya</w:t>
      </w:r>
      <w:r w:rsidRPr="00087BAC">
        <w:rPr>
          <w:rFonts w:ascii="Arial" w:hAnsi="Arial" w:cs="Arial"/>
          <w:sz w:val="24"/>
          <w:szCs w:val="24"/>
        </w:rPr>
        <w:t xml:space="preserve"> diferencias significativas y muestra un tamaño del efecto irrelevante entre las personas que se consideran en alguno de los extremos </w:t>
      </w:r>
      <w:r w:rsidR="001D40D8">
        <w:rPr>
          <w:rFonts w:ascii="Arial" w:hAnsi="Arial" w:cs="Arial"/>
          <w:sz w:val="24"/>
          <w:szCs w:val="24"/>
        </w:rPr>
        <w:t>altos</w:t>
      </w:r>
      <w:r w:rsidRPr="00087BAC">
        <w:rPr>
          <w:rFonts w:ascii="Arial" w:hAnsi="Arial" w:cs="Arial"/>
          <w:sz w:val="24"/>
          <w:szCs w:val="24"/>
        </w:rPr>
        <w:t xml:space="preserve"> o </w:t>
      </w:r>
      <w:bookmarkEnd w:id="8"/>
      <w:r w:rsidR="001D40D8">
        <w:rPr>
          <w:rFonts w:ascii="Arial" w:hAnsi="Arial" w:cs="Arial"/>
          <w:sz w:val="24"/>
          <w:szCs w:val="24"/>
        </w:rPr>
        <w:t>bajos</w:t>
      </w:r>
      <w:r w:rsidRPr="00087BAC">
        <w:rPr>
          <w:rFonts w:ascii="Arial" w:hAnsi="Arial" w:cs="Arial"/>
          <w:sz w:val="24"/>
          <w:szCs w:val="24"/>
        </w:rPr>
        <w:t xml:space="preserve">. Es decir, ambos presentan altas creencias de violencia estructural a diferencia de las demás posiciones que no presentan tampoco diferencias significativas, pero si tamaños de efecto medios a cercanos a altos, el que se destaca es una d=-.7 entre el nivel socioeconómico medio y el alto. </w:t>
      </w:r>
    </w:p>
    <w:p w14:paraId="626921A4" w14:textId="77777777" w:rsidR="00087BAC" w:rsidRPr="00087BAC" w:rsidRDefault="00087BAC" w:rsidP="00087BAC">
      <w:pPr>
        <w:spacing w:after="0" w:line="240" w:lineRule="auto"/>
        <w:ind w:firstLine="425"/>
        <w:contextualSpacing/>
        <w:jc w:val="both"/>
        <w:rPr>
          <w:rFonts w:ascii="Arial" w:hAnsi="Arial" w:cs="Arial"/>
          <w:sz w:val="24"/>
          <w:szCs w:val="24"/>
        </w:rPr>
      </w:pPr>
      <w:r w:rsidRPr="00087BAC">
        <w:rPr>
          <w:rFonts w:ascii="Arial" w:hAnsi="Arial" w:cs="Arial"/>
          <w:sz w:val="24"/>
          <w:szCs w:val="24"/>
        </w:rPr>
        <w:t xml:space="preserve">Los hallazgos en cuanto a nivel socioeconómico se encuentran no significativos por la poca población que se encuentra en extremos, pero se reitera, lo expuesto en el párrafo anterior, cuestión que también se encontró en Molina y Rottenbach (2015) quienes apuntaron que el grupo más desfavorecido en su estudio presentaba algos puntajes en justificación de la inequidad. </w:t>
      </w:r>
    </w:p>
    <w:p w14:paraId="763C8504" w14:textId="77777777" w:rsidR="00087BAC" w:rsidRPr="00087BAC" w:rsidRDefault="00087BAC" w:rsidP="00087BAC">
      <w:pPr>
        <w:spacing w:after="0" w:line="240" w:lineRule="auto"/>
        <w:contextualSpacing/>
        <w:jc w:val="both"/>
        <w:rPr>
          <w:rFonts w:ascii="Arial" w:hAnsi="Arial" w:cs="Arial"/>
          <w:b/>
          <w:bCs/>
          <w:sz w:val="24"/>
          <w:szCs w:val="24"/>
        </w:rPr>
      </w:pPr>
    </w:p>
    <w:p w14:paraId="0AC7CEA3" w14:textId="77777777" w:rsidR="00087BAC" w:rsidRPr="00087BAC" w:rsidRDefault="00087BAC" w:rsidP="00087BAC">
      <w:pPr>
        <w:spacing w:after="0" w:line="240" w:lineRule="auto"/>
        <w:contextualSpacing/>
        <w:jc w:val="both"/>
        <w:rPr>
          <w:rFonts w:ascii="Arial" w:hAnsi="Arial" w:cs="Arial"/>
          <w:b/>
          <w:bCs/>
          <w:sz w:val="20"/>
          <w:szCs w:val="20"/>
        </w:rPr>
      </w:pPr>
      <w:r w:rsidRPr="00087BAC">
        <w:rPr>
          <w:rFonts w:ascii="Arial" w:hAnsi="Arial" w:cs="Arial"/>
          <w:b/>
          <w:bCs/>
          <w:sz w:val="20"/>
          <w:szCs w:val="20"/>
        </w:rPr>
        <w:t xml:space="preserve">Tabla 3. </w:t>
      </w:r>
    </w:p>
    <w:p w14:paraId="2E4EF126" w14:textId="693F5407" w:rsidR="00087BAC" w:rsidRPr="00087BAC" w:rsidRDefault="00087BAC" w:rsidP="00087BAC">
      <w:pPr>
        <w:spacing w:after="0" w:line="240" w:lineRule="auto"/>
        <w:contextualSpacing/>
        <w:jc w:val="both"/>
        <w:rPr>
          <w:rFonts w:ascii="Arial" w:hAnsi="Arial" w:cs="Arial"/>
          <w:i/>
          <w:iCs/>
          <w:sz w:val="20"/>
          <w:szCs w:val="20"/>
        </w:rPr>
      </w:pPr>
      <w:r w:rsidRPr="00087BAC">
        <w:rPr>
          <w:rFonts w:ascii="Arial" w:hAnsi="Arial" w:cs="Arial"/>
          <w:i/>
          <w:iCs/>
          <w:sz w:val="20"/>
          <w:szCs w:val="20"/>
        </w:rPr>
        <w:t>Comparativo con t de Welch entre hombres y mujeres y la CVEJ</w:t>
      </w:r>
    </w:p>
    <w:tbl>
      <w:tblPr>
        <w:tblW w:w="0" w:type="auto"/>
        <w:jc w:val="center"/>
        <w:tblCellMar>
          <w:left w:w="70" w:type="dxa"/>
          <w:right w:w="70" w:type="dxa"/>
        </w:tblCellMar>
        <w:tblLook w:val="04A0" w:firstRow="1" w:lastRow="0" w:firstColumn="1" w:lastColumn="0" w:noHBand="0" w:noVBand="1"/>
      </w:tblPr>
      <w:tblGrid>
        <w:gridCol w:w="2390"/>
        <w:gridCol w:w="530"/>
        <w:gridCol w:w="752"/>
        <w:gridCol w:w="702"/>
        <w:gridCol w:w="1119"/>
        <w:gridCol w:w="1408"/>
        <w:gridCol w:w="552"/>
        <w:gridCol w:w="530"/>
        <w:gridCol w:w="857"/>
      </w:tblGrid>
      <w:tr w:rsidR="00087BAC" w:rsidRPr="00087BAC" w14:paraId="56FD85A9" w14:textId="77777777" w:rsidTr="004B6BFC">
        <w:trPr>
          <w:trHeight w:val="300"/>
          <w:jc w:val="center"/>
        </w:trPr>
        <w:tc>
          <w:tcPr>
            <w:tcW w:w="0" w:type="auto"/>
            <w:tcBorders>
              <w:top w:val="single" w:sz="8" w:space="0" w:color="000000"/>
              <w:left w:val="nil"/>
              <w:bottom w:val="nil"/>
              <w:right w:val="nil"/>
            </w:tcBorders>
            <w:vAlign w:val="center"/>
            <w:hideMark/>
          </w:tcPr>
          <w:p w14:paraId="2585FF8B"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c>
          <w:tcPr>
            <w:tcW w:w="0" w:type="auto"/>
            <w:tcBorders>
              <w:top w:val="single" w:sz="8" w:space="0" w:color="000000"/>
              <w:left w:val="nil"/>
              <w:bottom w:val="nil"/>
              <w:right w:val="nil"/>
            </w:tcBorders>
            <w:vAlign w:val="center"/>
            <w:hideMark/>
          </w:tcPr>
          <w:p w14:paraId="20A94EF1"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c>
          <w:tcPr>
            <w:tcW w:w="0" w:type="auto"/>
            <w:tcBorders>
              <w:top w:val="single" w:sz="8" w:space="0" w:color="000000"/>
              <w:left w:val="nil"/>
              <w:bottom w:val="nil"/>
              <w:right w:val="nil"/>
            </w:tcBorders>
            <w:vAlign w:val="center"/>
            <w:hideMark/>
          </w:tcPr>
          <w:p w14:paraId="1A46260E"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c>
          <w:tcPr>
            <w:tcW w:w="0" w:type="auto"/>
            <w:tcBorders>
              <w:top w:val="single" w:sz="8" w:space="0" w:color="000000"/>
              <w:left w:val="nil"/>
              <w:bottom w:val="nil"/>
              <w:right w:val="nil"/>
            </w:tcBorders>
            <w:vAlign w:val="center"/>
            <w:hideMark/>
          </w:tcPr>
          <w:p w14:paraId="102EAAE6"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c>
          <w:tcPr>
            <w:tcW w:w="0" w:type="auto"/>
            <w:tcBorders>
              <w:top w:val="single" w:sz="8" w:space="0" w:color="000000"/>
              <w:left w:val="nil"/>
              <w:bottom w:val="nil"/>
              <w:right w:val="nil"/>
            </w:tcBorders>
            <w:vAlign w:val="center"/>
            <w:hideMark/>
          </w:tcPr>
          <w:p w14:paraId="695EFBCA"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xml:space="preserve">diferencia </w:t>
            </w:r>
          </w:p>
        </w:tc>
        <w:tc>
          <w:tcPr>
            <w:tcW w:w="0" w:type="auto"/>
            <w:tcBorders>
              <w:top w:val="single" w:sz="8" w:space="0" w:color="000000"/>
              <w:left w:val="nil"/>
              <w:bottom w:val="nil"/>
              <w:right w:val="nil"/>
            </w:tcBorders>
            <w:vAlign w:val="center"/>
            <w:hideMark/>
          </w:tcPr>
          <w:p w14:paraId="7BEE6419"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c>
          <w:tcPr>
            <w:tcW w:w="0" w:type="auto"/>
            <w:gridSpan w:val="2"/>
            <w:tcBorders>
              <w:top w:val="single" w:sz="8" w:space="0" w:color="000000"/>
              <w:left w:val="nil"/>
              <w:bottom w:val="single" w:sz="8" w:space="0" w:color="000000"/>
              <w:right w:val="nil"/>
            </w:tcBorders>
            <w:vAlign w:val="center"/>
            <w:hideMark/>
          </w:tcPr>
          <w:p w14:paraId="03830C9F" w14:textId="77777777" w:rsidR="00087BAC" w:rsidRPr="00087BAC" w:rsidRDefault="00087BAC" w:rsidP="004B6BFC">
            <w:pPr>
              <w:spacing w:after="0" w:line="240" w:lineRule="auto"/>
              <w:jc w:val="center"/>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I.C. 95%</w:t>
            </w:r>
          </w:p>
        </w:tc>
        <w:tc>
          <w:tcPr>
            <w:tcW w:w="0" w:type="auto"/>
            <w:tcBorders>
              <w:top w:val="single" w:sz="8" w:space="0" w:color="000000"/>
              <w:left w:val="nil"/>
              <w:bottom w:val="nil"/>
              <w:right w:val="nil"/>
            </w:tcBorders>
            <w:vAlign w:val="center"/>
            <w:hideMark/>
          </w:tcPr>
          <w:p w14:paraId="5587D4DA"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r>
      <w:tr w:rsidR="00087BAC" w:rsidRPr="00087BAC" w14:paraId="22A91C91" w14:textId="77777777" w:rsidTr="004B6BFC">
        <w:trPr>
          <w:trHeight w:val="315"/>
          <w:jc w:val="center"/>
        </w:trPr>
        <w:tc>
          <w:tcPr>
            <w:tcW w:w="0" w:type="auto"/>
            <w:tcBorders>
              <w:top w:val="nil"/>
              <w:left w:val="nil"/>
              <w:bottom w:val="single" w:sz="8" w:space="0" w:color="000000"/>
              <w:right w:val="nil"/>
            </w:tcBorders>
            <w:vAlign w:val="center"/>
            <w:hideMark/>
          </w:tcPr>
          <w:p w14:paraId="56FD95C3"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w:t>
            </w:r>
          </w:p>
        </w:tc>
        <w:tc>
          <w:tcPr>
            <w:tcW w:w="0" w:type="auto"/>
            <w:tcBorders>
              <w:top w:val="nil"/>
              <w:left w:val="nil"/>
              <w:bottom w:val="single" w:sz="8" w:space="0" w:color="000000"/>
              <w:right w:val="nil"/>
            </w:tcBorders>
            <w:vAlign w:val="center"/>
            <w:hideMark/>
          </w:tcPr>
          <w:p w14:paraId="59672CDC"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t</w:t>
            </w:r>
          </w:p>
        </w:tc>
        <w:tc>
          <w:tcPr>
            <w:tcW w:w="0" w:type="auto"/>
            <w:tcBorders>
              <w:top w:val="nil"/>
              <w:left w:val="nil"/>
              <w:bottom w:val="single" w:sz="8" w:space="0" w:color="000000"/>
              <w:right w:val="nil"/>
            </w:tcBorders>
            <w:vAlign w:val="center"/>
            <w:hideMark/>
          </w:tcPr>
          <w:p w14:paraId="6630D7A6"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gl</w:t>
            </w:r>
          </w:p>
        </w:tc>
        <w:tc>
          <w:tcPr>
            <w:tcW w:w="0" w:type="auto"/>
            <w:tcBorders>
              <w:top w:val="nil"/>
              <w:left w:val="nil"/>
              <w:bottom w:val="single" w:sz="8" w:space="0" w:color="000000"/>
              <w:right w:val="nil"/>
            </w:tcBorders>
            <w:vAlign w:val="center"/>
            <w:hideMark/>
          </w:tcPr>
          <w:p w14:paraId="7ACDF270"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P</w:t>
            </w:r>
          </w:p>
        </w:tc>
        <w:tc>
          <w:tcPr>
            <w:tcW w:w="0" w:type="auto"/>
            <w:tcBorders>
              <w:top w:val="nil"/>
              <w:left w:val="nil"/>
              <w:bottom w:val="single" w:sz="8" w:space="0" w:color="000000"/>
              <w:right w:val="nil"/>
            </w:tcBorders>
            <w:noWrap/>
            <w:vAlign w:val="center"/>
            <w:hideMark/>
          </w:tcPr>
          <w:p w14:paraId="49DAAB8C"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de medias</w:t>
            </w:r>
          </w:p>
        </w:tc>
        <w:tc>
          <w:tcPr>
            <w:tcW w:w="0" w:type="auto"/>
            <w:tcBorders>
              <w:top w:val="nil"/>
              <w:left w:val="nil"/>
              <w:bottom w:val="single" w:sz="8" w:space="0" w:color="000000"/>
              <w:right w:val="nil"/>
            </w:tcBorders>
            <w:noWrap/>
            <w:vAlign w:val="center"/>
            <w:hideMark/>
          </w:tcPr>
          <w:p w14:paraId="64F3F33F"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diferencia ES</w:t>
            </w:r>
          </w:p>
        </w:tc>
        <w:tc>
          <w:tcPr>
            <w:tcW w:w="0" w:type="auto"/>
            <w:tcBorders>
              <w:top w:val="nil"/>
              <w:left w:val="nil"/>
              <w:bottom w:val="single" w:sz="8" w:space="0" w:color="000000"/>
              <w:right w:val="nil"/>
            </w:tcBorders>
            <w:vAlign w:val="center"/>
            <w:hideMark/>
          </w:tcPr>
          <w:p w14:paraId="7DC7AC79"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xml:space="preserve">bajo </w:t>
            </w:r>
          </w:p>
        </w:tc>
        <w:tc>
          <w:tcPr>
            <w:tcW w:w="0" w:type="auto"/>
            <w:tcBorders>
              <w:top w:val="nil"/>
              <w:left w:val="nil"/>
              <w:bottom w:val="single" w:sz="8" w:space="0" w:color="000000"/>
              <w:right w:val="nil"/>
            </w:tcBorders>
            <w:vAlign w:val="center"/>
            <w:hideMark/>
          </w:tcPr>
          <w:p w14:paraId="70309012"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xml:space="preserve">alto </w:t>
            </w:r>
          </w:p>
        </w:tc>
        <w:tc>
          <w:tcPr>
            <w:tcW w:w="0" w:type="auto"/>
            <w:tcBorders>
              <w:top w:val="nil"/>
              <w:left w:val="nil"/>
              <w:bottom w:val="single" w:sz="8" w:space="0" w:color="000000"/>
              <w:right w:val="nil"/>
            </w:tcBorders>
            <w:vAlign w:val="center"/>
            <w:hideMark/>
          </w:tcPr>
          <w:p w14:paraId="1213F4F5" w14:textId="77777777" w:rsidR="00087BAC" w:rsidRPr="00087BAC" w:rsidRDefault="00087BAC" w:rsidP="004B6BFC">
            <w:pPr>
              <w:spacing w:after="0" w:line="240" w:lineRule="auto"/>
              <w:rPr>
                <w:rFonts w:ascii="Arial" w:eastAsia="Times New Roman" w:hAnsi="Arial" w:cs="Arial"/>
                <w:b/>
                <w:bCs/>
                <w:color w:val="000000"/>
                <w:sz w:val="20"/>
                <w:szCs w:val="20"/>
                <w:lang w:eastAsia="es-MX"/>
              </w:rPr>
            </w:pPr>
            <w:r w:rsidRPr="00087BAC">
              <w:rPr>
                <w:rFonts w:ascii="Arial" w:eastAsia="Times New Roman" w:hAnsi="Arial" w:cs="Arial"/>
                <w:b/>
                <w:bCs/>
                <w:color w:val="000000"/>
                <w:sz w:val="20"/>
                <w:szCs w:val="20"/>
                <w:lang w:eastAsia="es-MX"/>
              </w:rPr>
              <w:t xml:space="preserve">D de Cohen </w:t>
            </w:r>
          </w:p>
        </w:tc>
      </w:tr>
      <w:tr w:rsidR="00087BAC" w:rsidRPr="00087BAC" w14:paraId="5C79394F" w14:textId="77777777" w:rsidTr="004B6BFC">
        <w:trPr>
          <w:trHeight w:val="288"/>
          <w:jc w:val="center"/>
        </w:trPr>
        <w:tc>
          <w:tcPr>
            <w:tcW w:w="0" w:type="auto"/>
            <w:tcBorders>
              <w:top w:val="nil"/>
              <w:left w:val="nil"/>
              <w:bottom w:val="nil"/>
              <w:right w:val="nil"/>
            </w:tcBorders>
            <w:vAlign w:val="center"/>
            <w:hideMark/>
          </w:tcPr>
          <w:p w14:paraId="4CB9BE0B" w14:textId="77777777" w:rsidR="00087BAC" w:rsidRPr="00087BAC" w:rsidRDefault="00087BAC" w:rsidP="004B6BFC">
            <w:pPr>
              <w:spacing w:after="0" w:line="240" w:lineRule="auto"/>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Creencias de inequidad y prejuicio sobre personas con menos recursos</w:t>
            </w:r>
          </w:p>
        </w:tc>
        <w:tc>
          <w:tcPr>
            <w:tcW w:w="0" w:type="auto"/>
            <w:tcBorders>
              <w:top w:val="nil"/>
              <w:left w:val="nil"/>
              <w:bottom w:val="nil"/>
              <w:right w:val="nil"/>
            </w:tcBorders>
            <w:vAlign w:val="center"/>
            <w:hideMark/>
          </w:tcPr>
          <w:p w14:paraId="0CBC7DE5"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5.1</w:t>
            </w:r>
          </w:p>
        </w:tc>
        <w:tc>
          <w:tcPr>
            <w:tcW w:w="0" w:type="auto"/>
            <w:tcBorders>
              <w:top w:val="nil"/>
              <w:left w:val="nil"/>
              <w:bottom w:val="nil"/>
              <w:right w:val="nil"/>
            </w:tcBorders>
            <w:vAlign w:val="center"/>
            <w:hideMark/>
          </w:tcPr>
          <w:p w14:paraId="36368220" w14:textId="77777777" w:rsidR="00087BAC" w:rsidRPr="00087BAC" w:rsidRDefault="00087BAC" w:rsidP="004B6BFC">
            <w:pPr>
              <w:spacing w:after="0" w:line="240" w:lineRule="auto"/>
              <w:jc w:val="center"/>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802.1</w:t>
            </w:r>
          </w:p>
        </w:tc>
        <w:tc>
          <w:tcPr>
            <w:tcW w:w="0" w:type="auto"/>
            <w:tcBorders>
              <w:top w:val="nil"/>
              <w:left w:val="nil"/>
              <w:bottom w:val="nil"/>
              <w:right w:val="nil"/>
            </w:tcBorders>
            <w:vAlign w:val="center"/>
            <w:hideMark/>
          </w:tcPr>
          <w:p w14:paraId="642AC77C"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&lt; .001</w:t>
            </w:r>
          </w:p>
        </w:tc>
        <w:tc>
          <w:tcPr>
            <w:tcW w:w="0" w:type="auto"/>
            <w:tcBorders>
              <w:top w:val="nil"/>
              <w:left w:val="nil"/>
              <w:bottom w:val="nil"/>
              <w:right w:val="nil"/>
            </w:tcBorders>
            <w:vAlign w:val="center"/>
            <w:hideMark/>
          </w:tcPr>
          <w:p w14:paraId="5833D349"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1.39</w:t>
            </w:r>
          </w:p>
        </w:tc>
        <w:tc>
          <w:tcPr>
            <w:tcW w:w="0" w:type="auto"/>
            <w:tcBorders>
              <w:top w:val="nil"/>
              <w:left w:val="nil"/>
              <w:bottom w:val="nil"/>
              <w:right w:val="nil"/>
            </w:tcBorders>
            <w:vAlign w:val="center"/>
            <w:hideMark/>
          </w:tcPr>
          <w:p w14:paraId="573D7F4B"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0.27</w:t>
            </w:r>
          </w:p>
        </w:tc>
        <w:tc>
          <w:tcPr>
            <w:tcW w:w="0" w:type="auto"/>
            <w:tcBorders>
              <w:top w:val="nil"/>
              <w:left w:val="nil"/>
              <w:bottom w:val="nil"/>
              <w:right w:val="nil"/>
            </w:tcBorders>
            <w:vAlign w:val="center"/>
            <w:hideMark/>
          </w:tcPr>
          <w:p w14:paraId="6D495009"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0.86</w:t>
            </w:r>
          </w:p>
        </w:tc>
        <w:tc>
          <w:tcPr>
            <w:tcW w:w="0" w:type="auto"/>
            <w:tcBorders>
              <w:top w:val="nil"/>
              <w:left w:val="nil"/>
              <w:bottom w:val="nil"/>
              <w:right w:val="nil"/>
            </w:tcBorders>
            <w:vAlign w:val="center"/>
            <w:hideMark/>
          </w:tcPr>
          <w:p w14:paraId="309069C6"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1.93</w:t>
            </w:r>
          </w:p>
        </w:tc>
        <w:tc>
          <w:tcPr>
            <w:tcW w:w="0" w:type="auto"/>
            <w:tcBorders>
              <w:top w:val="nil"/>
              <w:left w:val="nil"/>
              <w:bottom w:val="nil"/>
              <w:right w:val="nil"/>
            </w:tcBorders>
            <w:vAlign w:val="center"/>
            <w:hideMark/>
          </w:tcPr>
          <w:p w14:paraId="2F369830"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0.35</w:t>
            </w:r>
          </w:p>
        </w:tc>
      </w:tr>
      <w:tr w:rsidR="00087BAC" w:rsidRPr="00087BAC" w14:paraId="4B838FF4" w14:textId="77777777" w:rsidTr="004B6BFC">
        <w:trPr>
          <w:trHeight w:val="576"/>
          <w:jc w:val="center"/>
        </w:trPr>
        <w:tc>
          <w:tcPr>
            <w:tcW w:w="0" w:type="auto"/>
            <w:tcBorders>
              <w:top w:val="nil"/>
              <w:left w:val="nil"/>
              <w:bottom w:val="nil"/>
              <w:right w:val="nil"/>
            </w:tcBorders>
            <w:vAlign w:val="center"/>
            <w:hideMark/>
          </w:tcPr>
          <w:p w14:paraId="31987DAB" w14:textId="77777777" w:rsidR="00087BAC" w:rsidRPr="00087BAC" w:rsidRDefault="00087BAC" w:rsidP="004B6BFC">
            <w:pPr>
              <w:spacing w:after="0" w:line="240" w:lineRule="auto"/>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Igualdad de oportunidades</w:t>
            </w:r>
          </w:p>
        </w:tc>
        <w:tc>
          <w:tcPr>
            <w:tcW w:w="0" w:type="auto"/>
            <w:tcBorders>
              <w:top w:val="nil"/>
              <w:left w:val="nil"/>
              <w:bottom w:val="nil"/>
              <w:right w:val="nil"/>
            </w:tcBorders>
            <w:vAlign w:val="center"/>
            <w:hideMark/>
          </w:tcPr>
          <w:p w14:paraId="4219C729"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3.8</w:t>
            </w:r>
          </w:p>
        </w:tc>
        <w:tc>
          <w:tcPr>
            <w:tcW w:w="0" w:type="auto"/>
            <w:tcBorders>
              <w:top w:val="nil"/>
              <w:left w:val="nil"/>
              <w:bottom w:val="nil"/>
              <w:right w:val="nil"/>
            </w:tcBorders>
            <w:vAlign w:val="center"/>
            <w:hideMark/>
          </w:tcPr>
          <w:p w14:paraId="71FA5904"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843.66</w:t>
            </w:r>
          </w:p>
        </w:tc>
        <w:tc>
          <w:tcPr>
            <w:tcW w:w="0" w:type="auto"/>
            <w:tcBorders>
              <w:top w:val="nil"/>
              <w:left w:val="nil"/>
              <w:bottom w:val="nil"/>
              <w:right w:val="nil"/>
            </w:tcBorders>
            <w:vAlign w:val="center"/>
            <w:hideMark/>
          </w:tcPr>
          <w:p w14:paraId="2C35E896"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&lt; .001</w:t>
            </w:r>
          </w:p>
        </w:tc>
        <w:tc>
          <w:tcPr>
            <w:tcW w:w="0" w:type="auto"/>
            <w:tcBorders>
              <w:top w:val="nil"/>
              <w:left w:val="nil"/>
              <w:bottom w:val="nil"/>
              <w:right w:val="nil"/>
            </w:tcBorders>
            <w:vAlign w:val="center"/>
            <w:hideMark/>
          </w:tcPr>
          <w:p w14:paraId="2B289F54"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0.49</w:t>
            </w:r>
          </w:p>
        </w:tc>
        <w:tc>
          <w:tcPr>
            <w:tcW w:w="0" w:type="auto"/>
            <w:tcBorders>
              <w:top w:val="nil"/>
              <w:left w:val="nil"/>
              <w:bottom w:val="nil"/>
              <w:right w:val="nil"/>
            </w:tcBorders>
            <w:vAlign w:val="center"/>
            <w:hideMark/>
          </w:tcPr>
          <w:p w14:paraId="50753561"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0.13</w:t>
            </w:r>
          </w:p>
        </w:tc>
        <w:tc>
          <w:tcPr>
            <w:tcW w:w="0" w:type="auto"/>
            <w:tcBorders>
              <w:top w:val="nil"/>
              <w:left w:val="nil"/>
              <w:bottom w:val="nil"/>
              <w:right w:val="nil"/>
            </w:tcBorders>
            <w:vAlign w:val="center"/>
            <w:hideMark/>
          </w:tcPr>
          <w:p w14:paraId="3B8D983D"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0.24</w:t>
            </w:r>
          </w:p>
        </w:tc>
        <w:tc>
          <w:tcPr>
            <w:tcW w:w="0" w:type="auto"/>
            <w:tcBorders>
              <w:top w:val="nil"/>
              <w:left w:val="nil"/>
              <w:bottom w:val="nil"/>
              <w:right w:val="nil"/>
            </w:tcBorders>
            <w:vAlign w:val="center"/>
            <w:hideMark/>
          </w:tcPr>
          <w:p w14:paraId="4216395F"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0.75</w:t>
            </w:r>
          </w:p>
        </w:tc>
        <w:tc>
          <w:tcPr>
            <w:tcW w:w="0" w:type="auto"/>
            <w:tcBorders>
              <w:top w:val="nil"/>
              <w:left w:val="nil"/>
              <w:bottom w:val="nil"/>
              <w:right w:val="nil"/>
            </w:tcBorders>
            <w:vAlign w:val="center"/>
            <w:hideMark/>
          </w:tcPr>
          <w:p w14:paraId="69A3C9DA"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0.26</w:t>
            </w:r>
          </w:p>
        </w:tc>
      </w:tr>
      <w:tr w:rsidR="00087BAC" w:rsidRPr="00087BAC" w14:paraId="29E2AB2B" w14:textId="77777777" w:rsidTr="004B6BFC">
        <w:trPr>
          <w:trHeight w:val="576"/>
          <w:jc w:val="center"/>
        </w:trPr>
        <w:tc>
          <w:tcPr>
            <w:tcW w:w="0" w:type="auto"/>
            <w:tcBorders>
              <w:top w:val="nil"/>
              <w:left w:val="nil"/>
              <w:right w:val="nil"/>
            </w:tcBorders>
            <w:vAlign w:val="center"/>
            <w:hideMark/>
          </w:tcPr>
          <w:p w14:paraId="113662BA" w14:textId="77777777" w:rsidR="00087BAC" w:rsidRPr="00087BAC" w:rsidRDefault="00087BAC" w:rsidP="004B6BFC">
            <w:pPr>
              <w:spacing w:after="0" w:line="240" w:lineRule="auto"/>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Privilegiar a la clase social dominante</w:t>
            </w:r>
          </w:p>
        </w:tc>
        <w:tc>
          <w:tcPr>
            <w:tcW w:w="0" w:type="auto"/>
            <w:tcBorders>
              <w:top w:val="nil"/>
              <w:left w:val="nil"/>
              <w:right w:val="nil"/>
            </w:tcBorders>
            <w:vAlign w:val="center"/>
            <w:hideMark/>
          </w:tcPr>
          <w:p w14:paraId="6E76404D"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4.66</w:t>
            </w:r>
          </w:p>
        </w:tc>
        <w:tc>
          <w:tcPr>
            <w:tcW w:w="0" w:type="auto"/>
            <w:tcBorders>
              <w:top w:val="nil"/>
              <w:left w:val="nil"/>
              <w:right w:val="nil"/>
            </w:tcBorders>
            <w:vAlign w:val="center"/>
            <w:hideMark/>
          </w:tcPr>
          <w:p w14:paraId="498DB5CB"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861.46</w:t>
            </w:r>
          </w:p>
        </w:tc>
        <w:tc>
          <w:tcPr>
            <w:tcW w:w="0" w:type="auto"/>
            <w:tcBorders>
              <w:top w:val="nil"/>
              <w:left w:val="nil"/>
              <w:right w:val="nil"/>
            </w:tcBorders>
            <w:vAlign w:val="center"/>
            <w:hideMark/>
          </w:tcPr>
          <w:p w14:paraId="5C841545"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&lt; .001</w:t>
            </w:r>
          </w:p>
        </w:tc>
        <w:tc>
          <w:tcPr>
            <w:tcW w:w="0" w:type="auto"/>
            <w:tcBorders>
              <w:top w:val="nil"/>
              <w:left w:val="nil"/>
              <w:right w:val="nil"/>
            </w:tcBorders>
            <w:vAlign w:val="center"/>
            <w:hideMark/>
          </w:tcPr>
          <w:p w14:paraId="5230E0D1"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1.26</w:t>
            </w:r>
          </w:p>
        </w:tc>
        <w:tc>
          <w:tcPr>
            <w:tcW w:w="0" w:type="auto"/>
            <w:tcBorders>
              <w:top w:val="nil"/>
              <w:left w:val="nil"/>
              <w:right w:val="nil"/>
            </w:tcBorders>
            <w:vAlign w:val="center"/>
            <w:hideMark/>
          </w:tcPr>
          <w:p w14:paraId="382D8938"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0.27</w:t>
            </w:r>
          </w:p>
        </w:tc>
        <w:tc>
          <w:tcPr>
            <w:tcW w:w="0" w:type="auto"/>
            <w:tcBorders>
              <w:top w:val="nil"/>
              <w:left w:val="nil"/>
              <w:right w:val="nil"/>
            </w:tcBorders>
            <w:vAlign w:val="center"/>
            <w:hideMark/>
          </w:tcPr>
          <w:p w14:paraId="45F5F446"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0.73</w:t>
            </w:r>
          </w:p>
        </w:tc>
        <w:tc>
          <w:tcPr>
            <w:tcW w:w="0" w:type="auto"/>
            <w:tcBorders>
              <w:top w:val="nil"/>
              <w:left w:val="nil"/>
              <w:right w:val="nil"/>
            </w:tcBorders>
            <w:vAlign w:val="center"/>
            <w:hideMark/>
          </w:tcPr>
          <w:p w14:paraId="07A8ED7C"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1.79</w:t>
            </w:r>
          </w:p>
        </w:tc>
        <w:tc>
          <w:tcPr>
            <w:tcW w:w="0" w:type="auto"/>
            <w:tcBorders>
              <w:top w:val="nil"/>
              <w:left w:val="nil"/>
              <w:right w:val="nil"/>
            </w:tcBorders>
            <w:vAlign w:val="center"/>
            <w:hideMark/>
          </w:tcPr>
          <w:p w14:paraId="76AB6F88"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0.32</w:t>
            </w:r>
          </w:p>
        </w:tc>
      </w:tr>
      <w:tr w:rsidR="00087BAC" w:rsidRPr="00087BAC" w14:paraId="55457086" w14:textId="77777777" w:rsidTr="004B6BFC">
        <w:trPr>
          <w:trHeight w:val="588"/>
          <w:jc w:val="center"/>
        </w:trPr>
        <w:tc>
          <w:tcPr>
            <w:tcW w:w="0" w:type="auto"/>
            <w:tcBorders>
              <w:top w:val="nil"/>
              <w:left w:val="nil"/>
              <w:bottom w:val="single" w:sz="4" w:space="0" w:color="auto"/>
              <w:right w:val="nil"/>
            </w:tcBorders>
            <w:vAlign w:val="center"/>
            <w:hideMark/>
          </w:tcPr>
          <w:p w14:paraId="77CD66B6" w14:textId="77777777" w:rsidR="00087BAC" w:rsidRPr="00087BAC" w:rsidRDefault="00087BAC" w:rsidP="004B6BFC">
            <w:pPr>
              <w:spacing w:after="0" w:line="240" w:lineRule="auto"/>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Total de creencias de violencia estructural</w:t>
            </w:r>
          </w:p>
        </w:tc>
        <w:tc>
          <w:tcPr>
            <w:tcW w:w="0" w:type="auto"/>
            <w:tcBorders>
              <w:top w:val="nil"/>
              <w:left w:val="nil"/>
              <w:bottom w:val="single" w:sz="4" w:space="0" w:color="auto"/>
              <w:right w:val="nil"/>
            </w:tcBorders>
            <w:vAlign w:val="center"/>
            <w:hideMark/>
          </w:tcPr>
          <w:p w14:paraId="1DEA4902"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6.08</w:t>
            </w:r>
          </w:p>
        </w:tc>
        <w:tc>
          <w:tcPr>
            <w:tcW w:w="0" w:type="auto"/>
            <w:tcBorders>
              <w:top w:val="nil"/>
              <w:left w:val="nil"/>
              <w:bottom w:val="single" w:sz="4" w:space="0" w:color="auto"/>
              <w:right w:val="nil"/>
            </w:tcBorders>
            <w:vAlign w:val="center"/>
            <w:hideMark/>
          </w:tcPr>
          <w:p w14:paraId="3FFF92FD"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811.79</w:t>
            </w:r>
          </w:p>
        </w:tc>
        <w:tc>
          <w:tcPr>
            <w:tcW w:w="0" w:type="auto"/>
            <w:tcBorders>
              <w:top w:val="nil"/>
              <w:left w:val="nil"/>
              <w:bottom w:val="single" w:sz="4" w:space="0" w:color="auto"/>
              <w:right w:val="nil"/>
            </w:tcBorders>
            <w:vAlign w:val="center"/>
            <w:hideMark/>
          </w:tcPr>
          <w:p w14:paraId="4AB6D5C4"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&lt; .001</w:t>
            </w:r>
          </w:p>
        </w:tc>
        <w:tc>
          <w:tcPr>
            <w:tcW w:w="0" w:type="auto"/>
            <w:tcBorders>
              <w:top w:val="nil"/>
              <w:left w:val="nil"/>
              <w:bottom w:val="single" w:sz="4" w:space="0" w:color="auto"/>
              <w:right w:val="nil"/>
            </w:tcBorders>
            <w:vAlign w:val="center"/>
            <w:hideMark/>
          </w:tcPr>
          <w:p w14:paraId="6333A295"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3.14</w:t>
            </w:r>
          </w:p>
        </w:tc>
        <w:tc>
          <w:tcPr>
            <w:tcW w:w="0" w:type="auto"/>
            <w:tcBorders>
              <w:top w:val="nil"/>
              <w:left w:val="nil"/>
              <w:bottom w:val="single" w:sz="4" w:space="0" w:color="auto"/>
              <w:right w:val="nil"/>
            </w:tcBorders>
            <w:vAlign w:val="center"/>
            <w:hideMark/>
          </w:tcPr>
          <w:p w14:paraId="4EF11AED"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0.52</w:t>
            </w:r>
          </w:p>
        </w:tc>
        <w:tc>
          <w:tcPr>
            <w:tcW w:w="0" w:type="auto"/>
            <w:tcBorders>
              <w:top w:val="nil"/>
              <w:left w:val="nil"/>
              <w:bottom w:val="single" w:sz="4" w:space="0" w:color="auto"/>
              <w:right w:val="nil"/>
            </w:tcBorders>
            <w:vAlign w:val="center"/>
            <w:hideMark/>
          </w:tcPr>
          <w:p w14:paraId="12A2C60D"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2.13</w:t>
            </w:r>
          </w:p>
        </w:tc>
        <w:tc>
          <w:tcPr>
            <w:tcW w:w="0" w:type="auto"/>
            <w:tcBorders>
              <w:top w:val="nil"/>
              <w:left w:val="nil"/>
              <w:bottom w:val="single" w:sz="4" w:space="0" w:color="auto"/>
              <w:right w:val="nil"/>
            </w:tcBorders>
            <w:vAlign w:val="center"/>
            <w:hideMark/>
          </w:tcPr>
          <w:p w14:paraId="09948CEF"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4.15</w:t>
            </w:r>
          </w:p>
        </w:tc>
        <w:tc>
          <w:tcPr>
            <w:tcW w:w="0" w:type="auto"/>
            <w:tcBorders>
              <w:top w:val="nil"/>
              <w:left w:val="nil"/>
              <w:bottom w:val="single" w:sz="4" w:space="0" w:color="auto"/>
              <w:right w:val="nil"/>
            </w:tcBorders>
            <w:vAlign w:val="center"/>
            <w:hideMark/>
          </w:tcPr>
          <w:p w14:paraId="22EF66BF" w14:textId="77777777" w:rsidR="00087BAC" w:rsidRPr="00087BAC" w:rsidRDefault="00087BAC" w:rsidP="004B6BFC">
            <w:pPr>
              <w:spacing w:after="0" w:line="240" w:lineRule="auto"/>
              <w:jc w:val="right"/>
              <w:rPr>
                <w:rFonts w:ascii="Arial" w:eastAsia="Times New Roman" w:hAnsi="Arial" w:cs="Arial"/>
                <w:color w:val="000000"/>
                <w:sz w:val="20"/>
                <w:szCs w:val="20"/>
                <w:lang w:eastAsia="es-MX"/>
              </w:rPr>
            </w:pPr>
            <w:r w:rsidRPr="00087BAC">
              <w:rPr>
                <w:rFonts w:ascii="Arial" w:eastAsia="Times New Roman" w:hAnsi="Arial" w:cs="Arial"/>
                <w:color w:val="000000"/>
                <w:sz w:val="20"/>
                <w:szCs w:val="20"/>
                <w:lang w:eastAsia="es-MX"/>
              </w:rPr>
              <w:t>0.41</w:t>
            </w:r>
          </w:p>
        </w:tc>
      </w:tr>
    </w:tbl>
    <w:p w14:paraId="63FA94ED" w14:textId="77777777" w:rsidR="00087BAC" w:rsidRPr="00087BAC" w:rsidRDefault="00087BAC" w:rsidP="00087BAC">
      <w:pPr>
        <w:spacing w:after="0" w:line="240" w:lineRule="auto"/>
        <w:contextualSpacing/>
        <w:jc w:val="both"/>
        <w:rPr>
          <w:rFonts w:ascii="Arial" w:hAnsi="Arial" w:cs="Arial"/>
          <w:sz w:val="24"/>
          <w:szCs w:val="24"/>
        </w:rPr>
      </w:pPr>
    </w:p>
    <w:p w14:paraId="1F30368B" w14:textId="1313D4B8" w:rsidR="00087BAC" w:rsidRPr="00087BAC" w:rsidRDefault="00087BAC" w:rsidP="00087BAC">
      <w:pPr>
        <w:spacing w:after="0" w:line="240" w:lineRule="auto"/>
        <w:ind w:firstLine="425"/>
        <w:contextualSpacing/>
        <w:jc w:val="both"/>
        <w:rPr>
          <w:rFonts w:ascii="Arial" w:hAnsi="Arial" w:cs="Arial"/>
          <w:sz w:val="24"/>
          <w:szCs w:val="24"/>
        </w:rPr>
      </w:pPr>
      <w:r w:rsidRPr="00087BAC">
        <w:rPr>
          <w:rFonts w:ascii="Arial" w:hAnsi="Arial" w:cs="Arial"/>
          <w:sz w:val="24"/>
          <w:szCs w:val="24"/>
        </w:rPr>
        <w:t xml:space="preserve">No se encontraron diferencias </w:t>
      </w:r>
      <w:r w:rsidR="001D40D8">
        <w:rPr>
          <w:rFonts w:ascii="Arial" w:hAnsi="Arial" w:cs="Arial"/>
          <w:sz w:val="24"/>
          <w:szCs w:val="24"/>
        </w:rPr>
        <w:t>en el grado de estudio de padre y madre en relación con el</w:t>
      </w:r>
      <w:r w:rsidRPr="00087BAC">
        <w:rPr>
          <w:rFonts w:ascii="Arial" w:hAnsi="Arial" w:cs="Arial"/>
          <w:sz w:val="24"/>
          <w:szCs w:val="24"/>
        </w:rPr>
        <w:t xml:space="preserve"> total de violencia estructural. Por otro lado, como se puede apreciar en la Tabla 3, en todos y </w:t>
      </w:r>
      <w:bookmarkStart w:id="9" w:name="_Hlk143931637"/>
      <w:r w:rsidRPr="00087BAC">
        <w:rPr>
          <w:rFonts w:ascii="Arial" w:hAnsi="Arial" w:cs="Arial"/>
          <w:sz w:val="24"/>
          <w:szCs w:val="24"/>
        </w:rPr>
        <w:t xml:space="preserve">cada uno de los componentes de la escala de creencias de violencia estructural se encuentran más altos los puntajes de los hombres (1) que las mujeres (2) con tamaños del efecto pequeños. Este último hallazgo, también se reporta en Galán et al. (2022) y Galán y Macías-Valdez (2021) </w:t>
      </w:r>
      <w:bookmarkEnd w:id="9"/>
      <w:r w:rsidRPr="00087BAC">
        <w:rPr>
          <w:rFonts w:ascii="Arial" w:hAnsi="Arial" w:cs="Arial"/>
          <w:sz w:val="24"/>
          <w:szCs w:val="24"/>
        </w:rPr>
        <w:t xml:space="preserve">estudios que encuentran a los hombres como más desensibilizados a la violencia y, por tanto, con ideas que justifican, legitiman y naturalizan la violencia. </w:t>
      </w:r>
    </w:p>
    <w:p w14:paraId="17A9424C" w14:textId="3B3501AD" w:rsidR="00087BAC" w:rsidRPr="00087BAC" w:rsidRDefault="00087BAC" w:rsidP="00087BAC">
      <w:pPr>
        <w:spacing w:after="0" w:line="240" w:lineRule="auto"/>
        <w:ind w:firstLine="425"/>
        <w:contextualSpacing/>
        <w:jc w:val="both"/>
        <w:rPr>
          <w:rFonts w:ascii="Arial" w:hAnsi="Arial" w:cs="Arial"/>
          <w:sz w:val="24"/>
          <w:szCs w:val="24"/>
        </w:rPr>
      </w:pPr>
      <w:r w:rsidRPr="00087BAC">
        <w:rPr>
          <w:rFonts w:ascii="Arial" w:hAnsi="Arial" w:cs="Arial"/>
          <w:sz w:val="24"/>
          <w:szCs w:val="24"/>
        </w:rPr>
        <w:t>Por último, las personas que se consideran honestas (779, 90%) presentan una media de 28.43 DE 7.33</w:t>
      </w:r>
      <w:r w:rsidR="001D40D8">
        <w:rPr>
          <w:rFonts w:ascii="Arial" w:hAnsi="Arial" w:cs="Arial"/>
          <w:sz w:val="24"/>
          <w:szCs w:val="24"/>
        </w:rPr>
        <w:t>, con diferencias significativas y un tamaño de efecto cercano a medio (p&lt;.001, d= -.47),</w:t>
      </w:r>
      <w:r w:rsidRPr="00087BAC">
        <w:rPr>
          <w:rFonts w:ascii="Arial" w:hAnsi="Arial" w:cs="Arial"/>
          <w:sz w:val="24"/>
          <w:szCs w:val="24"/>
        </w:rPr>
        <w:t xml:space="preserve"> en contraste con las personas que declararon no serlo (32.13 DE 8.45). </w:t>
      </w:r>
    </w:p>
    <w:p w14:paraId="5361223E" w14:textId="77777777" w:rsidR="00087BAC" w:rsidRPr="00087BAC" w:rsidRDefault="00087BAC" w:rsidP="00087BAC">
      <w:pPr>
        <w:spacing w:after="0" w:line="240" w:lineRule="auto"/>
        <w:contextualSpacing/>
        <w:jc w:val="both"/>
        <w:rPr>
          <w:rFonts w:ascii="Arial" w:hAnsi="Arial" w:cs="Arial"/>
          <w:sz w:val="24"/>
          <w:szCs w:val="24"/>
        </w:rPr>
      </w:pPr>
    </w:p>
    <w:p w14:paraId="506B8D0C" w14:textId="77777777" w:rsidR="00087BAC" w:rsidRPr="00087BAC" w:rsidRDefault="00087BAC" w:rsidP="00087BAC">
      <w:pPr>
        <w:spacing w:after="0" w:line="240" w:lineRule="auto"/>
        <w:contextualSpacing/>
        <w:jc w:val="both"/>
        <w:rPr>
          <w:rFonts w:ascii="Arial" w:hAnsi="Arial" w:cs="Arial"/>
          <w:sz w:val="24"/>
          <w:szCs w:val="24"/>
        </w:rPr>
      </w:pPr>
    </w:p>
    <w:p w14:paraId="490EEE1C" w14:textId="62EACCA2" w:rsidR="00087BAC" w:rsidRPr="00087BAC" w:rsidRDefault="00087BAC" w:rsidP="00087BAC">
      <w:pPr>
        <w:spacing w:after="0" w:line="240" w:lineRule="auto"/>
        <w:contextualSpacing/>
        <w:jc w:val="both"/>
        <w:rPr>
          <w:rFonts w:ascii="Arial" w:eastAsia="Times New Roman" w:hAnsi="Arial" w:cs="Arial"/>
          <w:b/>
          <w:bCs/>
          <w:sz w:val="24"/>
          <w:szCs w:val="24"/>
        </w:rPr>
      </w:pPr>
      <w:r w:rsidRPr="00087BAC">
        <w:rPr>
          <w:rFonts w:ascii="Arial" w:eastAsia="Times New Roman" w:hAnsi="Arial" w:cs="Arial"/>
          <w:b/>
          <w:bCs/>
          <w:sz w:val="24"/>
          <w:szCs w:val="24"/>
        </w:rPr>
        <w:t>Conclusi</w:t>
      </w:r>
      <w:r>
        <w:rPr>
          <w:rFonts w:ascii="Arial" w:eastAsia="Times New Roman" w:hAnsi="Arial" w:cs="Arial"/>
          <w:b/>
          <w:bCs/>
          <w:sz w:val="24"/>
          <w:szCs w:val="24"/>
        </w:rPr>
        <w:t>ones</w:t>
      </w:r>
    </w:p>
    <w:p w14:paraId="5CD17F76" w14:textId="77777777" w:rsidR="00087BAC" w:rsidRPr="00087BAC" w:rsidRDefault="00087BAC" w:rsidP="0008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w:eastAsia="Times New Roman" w:hAnsi="Arial" w:cs="Arial"/>
          <w:smallCaps/>
          <w:sz w:val="24"/>
          <w:szCs w:val="24"/>
        </w:rPr>
      </w:pPr>
    </w:p>
    <w:p w14:paraId="6C13C328" w14:textId="1E894ABB" w:rsidR="00087BAC" w:rsidRPr="00087BAC" w:rsidRDefault="00087BAC" w:rsidP="0008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w:eastAsia="Times New Roman" w:hAnsi="Arial" w:cs="Arial"/>
          <w:sz w:val="24"/>
          <w:szCs w:val="24"/>
          <w:lang w:eastAsia="es-MX"/>
        </w:rPr>
      </w:pPr>
      <w:r w:rsidRPr="00087BAC">
        <w:rPr>
          <w:rFonts w:ascii="Arial" w:eastAsia="Times New Roman" w:hAnsi="Arial" w:cs="Arial"/>
          <w:sz w:val="24"/>
          <w:szCs w:val="24"/>
          <w:lang w:eastAsia="es-MX"/>
        </w:rPr>
        <w:lastRenderedPageBreak/>
        <w:t>El estudio de las creencias sobre violencia estructural permite visibilizar las diferencias que aparecen en las nuevas juventudes, desde elementos que legitiman y perpetúan la desigualdad hasta aquellos que</w:t>
      </w:r>
      <w:r w:rsidR="001D40D8">
        <w:rPr>
          <w:rFonts w:ascii="Arial" w:eastAsia="Times New Roman" w:hAnsi="Arial" w:cs="Arial"/>
          <w:sz w:val="24"/>
          <w:szCs w:val="24"/>
          <w:lang w:eastAsia="es-MX"/>
        </w:rPr>
        <w:t>,</w:t>
      </w:r>
      <w:r w:rsidRPr="00087BAC">
        <w:rPr>
          <w:rFonts w:ascii="Arial" w:eastAsia="Times New Roman" w:hAnsi="Arial" w:cs="Arial"/>
          <w:sz w:val="24"/>
          <w:szCs w:val="24"/>
          <w:lang w:eastAsia="es-MX"/>
        </w:rPr>
        <w:t xml:space="preserve"> una vez visibilizados</w:t>
      </w:r>
      <w:r w:rsidR="001D40D8">
        <w:rPr>
          <w:rFonts w:ascii="Arial" w:eastAsia="Times New Roman" w:hAnsi="Arial" w:cs="Arial"/>
          <w:sz w:val="24"/>
          <w:szCs w:val="24"/>
          <w:lang w:eastAsia="es-MX"/>
        </w:rPr>
        <w:t>,</w:t>
      </w:r>
      <w:r w:rsidRPr="00087BAC">
        <w:rPr>
          <w:rFonts w:ascii="Arial" w:eastAsia="Times New Roman" w:hAnsi="Arial" w:cs="Arial"/>
          <w:sz w:val="24"/>
          <w:szCs w:val="24"/>
          <w:lang w:eastAsia="es-MX"/>
        </w:rPr>
        <w:t xml:space="preserve"> permiten incidir y hacer consciencia, generar intervenciones y confrontar las estructuras de poder que se han construido socialmente. </w:t>
      </w:r>
    </w:p>
    <w:p w14:paraId="4D32C7F2" w14:textId="49160C5F" w:rsidR="00087BAC" w:rsidRPr="00087BAC" w:rsidRDefault="00087BAC" w:rsidP="00087BAC">
      <w:pPr>
        <w:spacing w:after="0" w:line="240" w:lineRule="auto"/>
        <w:ind w:firstLine="425"/>
        <w:contextualSpacing/>
        <w:jc w:val="both"/>
        <w:rPr>
          <w:rFonts w:ascii="Arial" w:eastAsia="Times New Roman" w:hAnsi="Arial" w:cs="Arial"/>
          <w:sz w:val="24"/>
          <w:szCs w:val="24"/>
        </w:rPr>
      </w:pPr>
      <w:r w:rsidRPr="00087BAC">
        <w:rPr>
          <w:rFonts w:ascii="Arial" w:eastAsia="Times New Roman" w:hAnsi="Arial" w:cs="Arial"/>
          <w:sz w:val="24"/>
          <w:szCs w:val="24"/>
        </w:rPr>
        <w:t xml:space="preserve">En esta investigación se presentan algunos hallazgos clave, por un </w:t>
      </w:r>
      <w:bookmarkStart w:id="10" w:name="_Hlk143931644"/>
      <w:r w:rsidRPr="00087BAC">
        <w:rPr>
          <w:rFonts w:ascii="Arial" w:eastAsia="Times New Roman" w:hAnsi="Arial" w:cs="Arial"/>
          <w:sz w:val="24"/>
          <w:szCs w:val="24"/>
        </w:rPr>
        <w:t>lado, las instituciones particulares privilegiadas también presentan mayor cantidad de creencias de violencia estructural, por otro lado, la pública tiene menor puntaje en ideas hacia la equidad</w:t>
      </w:r>
      <w:r w:rsidR="001D40D8">
        <w:rPr>
          <w:rFonts w:ascii="Arial" w:eastAsia="Times New Roman" w:hAnsi="Arial" w:cs="Arial"/>
          <w:sz w:val="24"/>
          <w:szCs w:val="24"/>
        </w:rPr>
        <w:t>,</w:t>
      </w:r>
      <w:r w:rsidRPr="00087BAC">
        <w:rPr>
          <w:rFonts w:ascii="Arial" w:eastAsia="Times New Roman" w:hAnsi="Arial" w:cs="Arial"/>
          <w:sz w:val="24"/>
          <w:szCs w:val="24"/>
        </w:rPr>
        <w:t xml:space="preserve"> lo cual puede tener cierta asociación con la condición de desigualdad social.</w:t>
      </w:r>
      <w:bookmarkEnd w:id="10"/>
      <w:r w:rsidRPr="00087BAC">
        <w:rPr>
          <w:rFonts w:ascii="Arial" w:eastAsia="Times New Roman" w:hAnsi="Arial" w:cs="Arial"/>
          <w:sz w:val="24"/>
          <w:szCs w:val="24"/>
        </w:rPr>
        <w:t xml:space="preserve"> Los extremos socioeconómicos </w:t>
      </w:r>
      <w:r w:rsidR="001D40D8">
        <w:rPr>
          <w:rFonts w:ascii="Arial" w:eastAsia="Times New Roman" w:hAnsi="Arial" w:cs="Arial"/>
          <w:sz w:val="24"/>
          <w:szCs w:val="24"/>
        </w:rPr>
        <w:t>comparten creencias similares y obtienen puntajes más altos</w:t>
      </w:r>
      <w:r w:rsidRPr="00087BAC">
        <w:rPr>
          <w:rFonts w:ascii="Arial" w:eastAsia="Times New Roman" w:hAnsi="Arial" w:cs="Arial"/>
          <w:sz w:val="24"/>
          <w:szCs w:val="24"/>
        </w:rPr>
        <w:t xml:space="preserve"> en la CVEJ. Finalmente</w:t>
      </w:r>
      <w:bookmarkStart w:id="11" w:name="_Hlk143931650"/>
      <w:r w:rsidRPr="00087BAC">
        <w:rPr>
          <w:rFonts w:ascii="Arial" w:eastAsia="Times New Roman" w:hAnsi="Arial" w:cs="Arial"/>
          <w:sz w:val="24"/>
          <w:szCs w:val="24"/>
        </w:rPr>
        <w:t xml:space="preserve">, los hombres también representan el sexo que replica más este tipo de ideología, cuestión que puede estar relacionada a los mandatos de género y la necesidad de competir como una forma de masculinizarse. </w:t>
      </w:r>
    </w:p>
    <w:bookmarkEnd w:id="11"/>
    <w:p w14:paraId="302D76D7" w14:textId="4FD41A90" w:rsidR="00087BAC" w:rsidRPr="00087BAC" w:rsidRDefault="00087BAC" w:rsidP="00087BAC">
      <w:pPr>
        <w:spacing w:after="0" w:line="240" w:lineRule="auto"/>
        <w:ind w:firstLine="425"/>
        <w:contextualSpacing/>
        <w:jc w:val="both"/>
        <w:rPr>
          <w:rFonts w:ascii="Arial" w:eastAsia="Times New Roman" w:hAnsi="Arial" w:cs="Arial"/>
          <w:sz w:val="24"/>
          <w:szCs w:val="24"/>
        </w:rPr>
      </w:pPr>
      <w:r w:rsidRPr="00087BAC">
        <w:rPr>
          <w:rFonts w:ascii="Arial" w:eastAsia="Times New Roman" w:hAnsi="Arial" w:cs="Arial"/>
          <w:sz w:val="24"/>
          <w:szCs w:val="24"/>
          <w:lang w:eastAsia="es-MX"/>
        </w:rPr>
        <w:t>Este estudio tiene como limitación que no se ha realizado un comparativo internacional</w:t>
      </w:r>
      <w:r w:rsidR="001D40D8">
        <w:rPr>
          <w:rFonts w:ascii="Arial" w:eastAsia="Times New Roman" w:hAnsi="Arial" w:cs="Arial"/>
          <w:sz w:val="24"/>
          <w:szCs w:val="24"/>
          <w:lang w:eastAsia="es-MX"/>
        </w:rPr>
        <w:t>;</w:t>
      </w:r>
      <w:r w:rsidRPr="00087BAC">
        <w:rPr>
          <w:rFonts w:ascii="Arial" w:eastAsia="Times New Roman" w:hAnsi="Arial" w:cs="Arial"/>
          <w:sz w:val="24"/>
          <w:szCs w:val="24"/>
          <w:lang w:eastAsia="es-MX"/>
        </w:rPr>
        <w:t xml:space="preserve"> tampoco se trabajó con zonas altamente privilegiadas, ni altamente marginadas</w:t>
      </w:r>
      <w:r w:rsidR="001D40D8">
        <w:rPr>
          <w:rFonts w:ascii="Arial" w:eastAsia="Times New Roman" w:hAnsi="Arial" w:cs="Arial"/>
          <w:sz w:val="24"/>
          <w:szCs w:val="24"/>
          <w:lang w:eastAsia="es-MX"/>
        </w:rPr>
        <w:t>.</w:t>
      </w:r>
      <w:r w:rsidRPr="00087BAC">
        <w:rPr>
          <w:rFonts w:ascii="Arial" w:eastAsia="Times New Roman" w:hAnsi="Arial" w:cs="Arial"/>
          <w:sz w:val="24"/>
          <w:szCs w:val="24"/>
          <w:lang w:eastAsia="es-MX"/>
        </w:rPr>
        <w:t xml:space="preserve"> </w:t>
      </w:r>
      <w:r w:rsidR="001D40D8">
        <w:rPr>
          <w:rFonts w:ascii="Arial" w:eastAsia="Times New Roman" w:hAnsi="Arial" w:cs="Arial"/>
          <w:sz w:val="24"/>
          <w:szCs w:val="24"/>
          <w:lang w:eastAsia="es-MX"/>
        </w:rPr>
        <w:t>También</w:t>
      </w:r>
      <w:r w:rsidRPr="00087BAC">
        <w:rPr>
          <w:rFonts w:ascii="Arial" w:eastAsia="Times New Roman" w:hAnsi="Arial" w:cs="Arial"/>
          <w:sz w:val="24"/>
          <w:szCs w:val="24"/>
          <w:lang w:eastAsia="es-MX"/>
        </w:rPr>
        <w:t xml:space="preserve"> es conveniente averiguar si las circunstancias y creencias </w:t>
      </w:r>
      <w:r w:rsidR="001D40D8">
        <w:rPr>
          <w:rFonts w:ascii="Arial" w:eastAsia="Times New Roman" w:hAnsi="Arial" w:cs="Arial"/>
          <w:sz w:val="24"/>
          <w:szCs w:val="24"/>
          <w:lang w:eastAsia="es-MX"/>
        </w:rPr>
        <w:t>sobre la violencia estructural inciden en las perspectivas, aspiraciones y metas futuras de los</w:t>
      </w:r>
      <w:r w:rsidRPr="00087BAC">
        <w:rPr>
          <w:rFonts w:ascii="Arial" w:eastAsia="Times New Roman" w:hAnsi="Arial" w:cs="Arial"/>
          <w:sz w:val="24"/>
          <w:szCs w:val="24"/>
          <w:lang w:eastAsia="es-MX"/>
        </w:rPr>
        <w:t xml:space="preserve"> jóvenes. Por otro lado, resulta en una oportunidad a futuro el realizar un estudio similar en contexto de postpandemia, tomando en cuenta las aseveraciones de la Organización de las Naciones Unidas ([ONU]2021), con respecto a la violencia y desigualdad que se acrecentaron debido a la contingencia mundial, especialmente en las mujeres.</w:t>
      </w:r>
    </w:p>
    <w:p w14:paraId="5B34ED78" w14:textId="77777777" w:rsidR="00087BAC" w:rsidRPr="00087BAC" w:rsidRDefault="00087BAC" w:rsidP="00087BAC">
      <w:pPr>
        <w:suppressAutoHyphens/>
        <w:spacing w:after="0" w:line="240" w:lineRule="auto"/>
        <w:jc w:val="both"/>
        <w:rPr>
          <w:rFonts w:ascii="Arial" w:hAnsi="Arial" w:cs="Arial"/>
          <w:b/>
          <w:bCs/>
          <w:sz w:val="24"/>
          <w:szCs w:val="24"/>
        </w:rPr>
      </w:pPr>
    </w:p>
    <w:p w14:paraId="18870CDB" w14:textId="77777777" w:rsidR="00087BAC" w:rsidRPr="00087BAC" w:rsidRDefault="00087BAC" w:rsidP="00087BAC">
      <w:pPr>
        <w:suppressAutoHyphens/>
        <w:spacing w:after="0" w:line="240" w:lineRule="auto"/>
        <w:jc w:val="both"/>
        <w:rPr>
          <w:rFonts w:ascii="Arial" w:hAnsi="Arial" w:cs="Arial"/>
          <w:b/>
          <w:bCs/>
          <w:sz w:val="24"/>
          <w:szCs w:val="24"/>
        </w:rPr>
      </w:pPr>
    </w:p>
    <w:p w14:paraId="1004F57E" w14:textId="77777777" w:rsidR="00087BAC" w:rsidRPr="00087BAC" w:rsidRDefault="00087BAC" w:rsidP="00087BAC">
      <w:pPr>
        <w:suppressAutoHyphens/>
        <w:spacing w:after="0" w:line="240" w:lineRule="auto"/>
        <w:jc w:val="both"/>
        <w:rPr>
          <w:rFonts w:ascii="Arial" w:hAnsi="Arial" w:cs="Arial"/>
          <w:b/>
          <w:bCs/>
          <w:sz w:val="24"/>
          <w:szCs w:val="24"/>
        </w:rPr>
      </w:pPr>
      <w:r w:rsidRPr="00087BAC">
        <w:rPr>
          <w:rFonts w:ascii="Arial" w:hAnsi="Arial" w:cs="Arial"/>
          <w:b/>
          <w:bCs/>
          <w:sz w:val="24"/>
          <w:szCs w:val="24"/>
        </w:rPr>
        <w:t>Referencias</w:t>
      </w:r>
    </w:p>
    <w:p w14:paraId="294AA4A3" w14:textId="77777777" w:rsidR="00087BAC" w:rsidRPr="00087BAC" w:rsidRDefault="00087BAC" w:rsidP="00087BAC">
      <w:pPr>
        <w:suppressAutoHyphens/>
        <w:spacing w:after="0" w:line="240" w:lineRule="auto"/>
        <w:ind w:hanging="709"/>
        <w:jc w:val="both"/>
        <w:rPr>
          <w:rFonts w:ascii="Arial" w:hAnsi="Arial" w:cs="Arial"/>
          <w:smallCaps/>
          <w:sz w:val="24"/>
          <w:szCs w:val="24"/>
        </w:rPr>
      </w:pPr>
    </w:p>
    <w:p w14:paraId="2F9ACE18" w14:textId="77777777" w:rsidR="00087BAC" w:rsidRPr="00087BAC" w:rsidRDefault="00087BAC" w:rsidP="00087BAC">
      <w:pPr>
        <w:spacing w:after="0" w:line="240" w:lineRule="auto"/>
        <w:ind w:left="426" w:hanging="426"/>
        <w:contextualSpacing/>
        <w:jc w:val="both"/>
        <w:rPr>
          <w:rFonts w:ascii="Arial" w:hAnsi="Arial" w:cs="Arial"/>
          <w:sz w:val="24"/>
          <w:szCs w:val="24"/>
        </w:rPr>
      </w:pPr>
      <w:r w:rsidRPr="00087BAC">
        <w:rPr>
          <w:rFonts w:ascii="Arial" w:hAnsi="Arial" w:cs="Arial"/>
          <w:sz w:val="24"/>
          <w:szCs w:val="24"/>
        </w:rPr>
        <w:t xml:space="preserve">Aguilar-Foreo, N. y Muñoz, G. (2015). La condición juvenil en Colombia: entre violencia estructural y acción colectiva. </w:t>
      </w:r>
      <w:r w:rsidRPr="00087BAC">
        <w:rPr>
          <w:rFonts w:ascii="Arial" w:hAnsi="Arial" w:cs="Arial"/>
          <w:i/>
          <w:sz w:val="24"/>
          <w:szCs w:val="24"/>
        </w:rPr>
        <w:t>Revista Latinoamericana de Ciencias Sociales, Niñez y Juventud, 13</w:t>
      </w:r>
      <w:r w:rsidRPr="00087BAC">
        <w:rPr>
          <w:rFonts w:ascii="Arial" w:hAnsi="Arial" w:cs="Arial"/>
          <w:sz w:val="24"/>
          <w:szCs w:val="24"/>
        </w:rPr>
        <w:t xml:space="preserve">(2), 1021–1035. </w:t>
      </w:r>
      <w:hyperlink r:id="rId4" w:history="1">
        <w:r w:rsidRPr="00087BAC">
          <w:rPr>
            <w:rStyle w:val="Hipervnculo"/>
            <w:rFonts w:ascii="Arial" w:hAnsi="Arial" w:cs="Arial"/>
            <w:shd w:val="clear" w:color="auto" w:fill="FFFFFF"/>
          </w:rPr>
          <w:t>https://doi.org/10.11600/1692715x.13233090913</w:t>
        </w:r>
      </w:hyperlink>
    </w:p>
    <w:p w14:paraId="60E13021" w14:textId="77777777" w:rsidR="00087BAC" w:rsidRPr="00087BAC" w:rsidRDefault="00087BAC" w:rsidP="00087BAC">
      <w:pPr>
        <w:spacing w:after="0" w:line="240" w:lineRule="auto"/>
        <w:ind w:left="426" w:hanging="426"/>
        <w:contextualSpacing/>
        <w:jc w:val="both"/>
        <w:rPr>
          <w:rFonts w:ascii="Arial" w:hAnsi="Arial" w:cs="Arial"/>
          <w:iCs/>
        </w:rPr>
      </w:pPr>
      <w:r w:rsidRPr="00087BAC">
        <w:rPr>
          <w:rFonts w:ascii="Arial" w:hAnsi="Arial" w:cs="Arial"/>
          <w:sz w:val="24"/>
          <w:szCs w:val="24"/>
          <w:lang w:val="en-US"/>
        </w:rPr>
        <w:t xml:space="preserve">American Psychological Association (2017). </w:t>
      </w:r>
      <w:r w:rsidRPr="00087BAC">
        <w:rPr>
          <w:rFonts w:ascii="Arial" w:hAnsi="Arial" w:cs="Arial"/>
          <w:i/>
          <w:sz w:val="24"/>
          <w:szCs w:val="24"/>
          <w:lang w:val="en-US"/>
        </w:rPr>
        <w:t xml:space="preserve">Ethical principles of psychologists and code of conduct (2002, amended effective June 1, 2010, and January 1, 2017). </w:t>
      </w:r>
      <w:r w:rsidRPr="00087BAC">
        <w:rPr>
          <w:rFonts w:ascii="Arial" w:hAnsi="Arial" w:cs="Arial"/>
          <w:iCs/>
          <w:sz w:val="24"/>
          <w:szCs w:val="24"/>
        </w:rPr>
        <w:t>APA.org.</w:t>
      </w:r>
    </w:p>
    <w:p w14:paraId="3A0051C8" w14:textId="77777777" w:rsidR="00087BAC" w:rsidRPr="00087BAC" w:rsidRDefault="00087BAC" w:rsidP="00087BAC">
      <w:pPr>
        <w:spacing w:after="0" w:line="240" w:lineRule="auto"/>
        <w:ind w:left="426" w:hanging="426"/>
        <w:contextualSpacing/>
        <w:jc w:val="both"/>
        <w:rPr>
          <w:rFonts w:ascii="Arial" w:hAnsi="Arial" w:cs="Arial"/>
          <w:sz w:val="24"/>
          <w:szCs w:val="24"/>
        </w:rPr>
      </w:pPr>
      <w:hyperlink r:id="rId5" w:history="1">
        <w:r w:rsidRPr="00087BAC">
          <w:rPr>
            <w:rStyle w:val="Hipervnculo"/>
            <w:rFonts w:ascii="Arial" w:hAnsi="Arial" w:cs="Arial"/>
            <w:sz w:val="24"/>
            <w:szCs w:val="24"/>
          </w:rPr>
          <w:t>http://www.apa.org/ethics/code/index.html</w:t>
        </w:r>
      </w:hyperlink>
      <w:r w:rsidRPr="00087BAC">
        <w:rPr>
          <w:rFonts w:ascii="Arial" w:hAnsi="Arial" w:cs="Arial"/>
          <w:sz w:val="24"/>
          <w:szCs w:val="24"/>
        </w:rPr>
        <w:t xml:space="preserve"> </w:t>
      </w:r>
    </w:p>
    <w:p w14:paraId="394E3FCC" w14:textId="77777777" w:rsidR="00087BAC" w:rsidRPr="00087BAC" w:rsidRDefault="00087BAC" w:rsidP="00087BAC">
      <w:pPr>
        <w:spacing w:after="0" w:line="240" w:lineRule="auto"/>
        <w:ind w:left="426" w:hanging="426"/>
        <w:contextualSpacing/>
        <w:jc w:val="both"/>
        <w:rPr>
          <w:rFonts w:ascii="Arial" w:hAnsi="Arial" w:cs="Arial"/>
          <w:sz w:val="24"/>
          <w:szCs w:val="24"/>
          <w:lang w:val="es-419"/>
        </w:rPr>
      </w:pPr>
      <w:r w:rsidRPr="00087BAC">
        <w:rPr>
          <w:rFonts w:ascii="Arial" w:hAnsi="Arial" w:cs="Arial"/>
          <w:sz w:val="24"/>
          <w:szCs w:val="24"/>
        </w:rPr>
        <w:t xml:space="preserve">Díaz, G., Vázquez, N. I., y Pérez, A. (2015). </w:t>
      </w:r>
      <w:r w:rsidRPr="00087BAC">
        <w:rPr>
          <w:rFonts w:ascii="Arial" w:hAnsi="Arial" w:cs="Arial"/>
          <w:sz w:val="24"/>
          <w:szCs w:val="24"/>
          <w:lang w:val="es-419"/>
        </w:rPr>
        <w:t xml:space="preserve">La sombra de la violencia estructural en los jóvenes universitarios.  </w:t>
      </w:r>
      <w:r w:rsidRPr="00087BAC">
        <w:rPr>
          <w:rFonts w:ascii="Arial" w:hAnsi="Arial" w:cs="Arial"/>
          <w:i/>
          <w:iCs/>
          <w:sz w:val="24"/>
          <w:szCs w:val="24"/>
          <w:lang w:val="es-419"/>
        </w:rPr>
        <w:t>RECERCA.</w:t>
      </w:r>
      <w:r w:rsidRPr="00087BAC">
        <w:rPr>
          <w:rFonts w:ascii="Arial" w:hAnsi="Arial" w:cs="Arial"/>
          <w:sz w:val="24"/>
          <w:szCs w:val="24"/>
          <w:lang w:val="es-419"/>
        </w:rPr>
        <w:t xml:space="preserve"> </w:t>
      </w:r>
      <w:r w:rsidRPr="00087BAC">
        <w:rPr>
          <w:rFonts w:ascii="Arial" w:hAnsi="Arial" w:cs="Arial"/>
          <w:i/>
          <w:iCs/>
          <w:sz w:val="24"/>
          <w:szCs w:val="24"/>
          <w:lang w:val="es-419"/>
        </w:rPr>
        <w:t>Revista de Pensament I Anàlisi</w:t>
      </w:r>
      <w:r w:rsidRPr="00087BAC">
        <w:rPr>
          <w:rFonts w:ascii="Arial" w:hAnsi="Arial" w:cs="Arial"/>
          <w:sz w:val="24"/>
          <w:szCs w:val="24"/>
          <w:lang w:val="es-419"/>
        </w:rPr>
        <w:t xml:space="preserve">, </w:t>
      </w:r>
      <w:r w:rsidRPr="00087BAC">
        <w:rPr>
          <w:rFonts w:ascii="Arial" w:hAnsi="Arial" w:cs="Arial"/>
          <w:i/>
          <w:iCs/>
          <w:sz w:val="24"/>
          <w:szCs w:val="24"/>
          <w:lang w:val="es-419"/>
        </w:rPr>
        <w:t>16,</w:t>
      </w:r>
      <w:r w:rsidRPr="00087BAC">
        <w:rPr>
          <w:rFonts w:ascii="Arial" w:hAnsi="Arial" w:cs="Arial"/>
          <w:sz w:val="24"/>
          <w:szCs w:val="24"/>
          <w:lang w:val="es-419"/>
        </w:rPr>
        <w:t xml:space="preserve"> 59-86. </w:t>
      </w:r>
      <w:hyperlink r:id="rId6" w:history="1">
        <w:r w:rsidRPr="00087BAC">
          <w:rPr>
            <w:rStyle w:val="Hipervnculo"/>
            <w:rFonts w:ascii="Arial" w:hAnsi="Arial" w:cs="Arial"/>
            <w:sz w:val="24"/>
            <w:szCs w:val="24"/>
            <w:lang w:val="es-419"/>
          </w:rPr>
          <w:t>https://doi.org/10.6035/Recerca.2015.16.4</w:t>
        </w:r>
      </w:hyperlink>
      <w:r w:rsidRPr="00087BAC">
        <w:rPr>
          <w:rFonts w:ascii="Arial" w:hAnsi="Arial" w:cs="Arial"/>
          <w:sz w:val="24"/>
          <w:szCs w:val="24"/>
          <w:lang w:val="es-419"/>
        </w:rPr>
        <w:t xml:space="preserve"> </w:t>
      </w:r>
    </w:p>
    <w:p w14:paraId="09F23C4B" w14:textId="65F92438" w:rsidR="00087BAC" w:rsidRPr="00087BAC" w:rsidRDefault="00087BAC" w:rsidP="00087BAC">
      <w:pPr>
        <w:autoSpaceDE w:val="0"/>
        <w:autoSpaceDN w:val="0"/>
        <w:adjustRightInd w:val="0"/>
        <w:spacing w:after="0" w:line="240" w:lineRule="auto"/>
        <w:ind w:left="426" w:hanging="426"/>
        <w:contextualSpacing/>
        <w:jc w:val="both"/>
        <w:rPr>
          <w:rFonts w:ascii="Arial" w:hAnsi="Arial" w:cs="Arial"/>
          <w:sz w:val="24"/>
          <w:szCs w:val="24"/>
        </w:rPr>
      </w:pPr>
      <w:r w:rsidRPr="00087BAC">
        <w:rPr>
          <w:rFonts w:ascii="Arial" w:hAnsi="Arial" w:cs="Arial"/>
          <w:sz w:val="24"/>
          <w:szCs w:val="24"/>
        </w:rPr>
        <w:t xml:space="preserve">Galán, F.  J., </w:t>
      </w:r>
      <w:r w:rsidR="001D40D8">
        <w:rPr>
          <w:rFonts w:ascii="Arial" w:hAnsi="Arial" w:cs="Arial"/>
          <w:sz w:val="24"/>
          <w:szCs w:val="24"/>
        </w:rPr>
        <w:t>de</w:t>
      </w:r>
      <w:r w:rsidRPr="00087BAC">
        <w:rPr>
          <w:rFonts w:ascii="Arial" w:hAnsi="Arial" w:cs="Arial"/>
          <w:sz w:val="24"/>
          <w:szCs w:val="24"/>
        </w:rPr>
        <w:t xml:space="preserve"> la Rosa, P. I. y Hernández, K. Y. (2022).  Violencia estructural, mujeres y conductas disruptivas en San Luis Potosí, México.  </w:t>
      </w:r>
      <w:r w:rsidRPr="00087BAC">
        <w:rPr>
          <w:rFonts w:ascii="Arial" w:hAnsi="Arial" w:cs="Arial"/>
          <w:i/>
          <w:iCs/>
          <w:sz w:val="24"/>
          <w:szCs w:val="24"/>
        </w:rPr>
        <w:t>Revista Criminalidad</w:t>
      </w:r>
      <w:r w:rsidRPr="00087BAC">
        <w:rPr>
          <w:rFonts w:ascii="Arial" w:hAnsi="Arial" w:cs="Arial"/>
          <w:sz w:val="24"/>
          <w:szCs w:val="24"/>
        </w:rPr>
        <w:t xml:space="preserve">, </w:t>
      </w:r>
      <w:r w:rsidRPr="00087BAC">
        <w:rPr>
          <w:rFonts w:ascii="Arial" w:hAnsi="Arial" w:cs="Arial"/>
          <w:i/>
          <w:iCs/>
          <w:sz w:val="24"/>
          <w:szCs w:val="24"/>
        </w:rPr>
        <w:t>64</w:t>
      </w:r>
      <w:r w:rsidRPr="00087BAC">
        <w:rPr>
          <w:rFonts w:ascii="Arial" w:hAnsi="Arial" w:cs="Arial"/>
          <w:sz w:val="24"/>
          <w:szCs w:val="24"/>
        </w:rPr>
        <w:t xml:space="preserve">(3), 23-38. </w:t>
      </w:r>
      <w:hyperlink r:id="rId7" w:history="1">
        <w:r w:rsidRPr="00087BAC">
          <w:rPr>
            <w:rStyle w:val="Hipervnculo"/>
            <w:rFonts w:ascii="Arial" w:hAnsi="Arial" w:cs="Arial"/>
            <w:sz w:val="24"/>
            <w:szCs w:val="24"/>
          </w:rPr>
          <w:t>https://doi.org/10.47741/17943108.364</w:t>
        </w:r>
      </w:hyperlink>
    </w:p>
    <w:p w14:paraId="2CFFD227" w14:textId="38E7137F" w:rsidR="00087BAC" w:rsidRPr="00087BAC" w:rsidRDefault="00087BAC" w:rsidP="00087BAC">
      <w:pPr>
        <w:spacing w:after="0" w:line="240" w:lineRule="auto"/>
        <w:ind w:left="426" w:hanging="426"/>
        <w:contextualSpacing/>
        <w:jc w:val="both"/>
        <w:rPr>
          <w:rFonts w:ascii="Arial" w:hAnsi="Arial" w:cs="Arial"/>
          <w:sz w:val="24"/>
          <w:szCs w:val="24"/>
          <w:lang w:val="es-419"/>
        </w:rPr>
      </w:pPr>
      <w:r w:rsidRPr="00087BAC">
        <w:rPr>
          <w:rFonts w:ascii="Arial" w:hAnsi="Arial" w:cs="Arial"/>
          <w:sz w:val="24"/>
          <w:szCs w:val="24"/>
        </w:rPr>
        <w:t>Galán, F. J.S. y Macías-Valadez, G. (2021). Masculinidades y desensibilización a la violencia. En, M. R. Figueroa y F. González (coords</w:t>
      </w:r>
      <w:r w:rsidR="001D40D8">
        <w:rPr>
          <w:rFonts w:ascii="Arial" w:hAnsi="Arial" w:cs="Arial"/>
          <w:sz w:val="24"/>
          <w:szCs w:val="24"/>
        </w:rPr>
        <w:t>.</w:t>
      </w:r>
      <w:r w:rsidRPr="00087BAC">
        <w:rPr>
          <w:rFonts w:ascii="Arial" w:hAnsi="Arial" w:cs="Arial"/>
          <w:sz w:val="24"/>
          <w:szCs w:val="24"/>
        </w:rPr>
        <w:t xml:space="preserve">), </w:t>
      </w:r>
      <w:r w:rsidRPr="00087BAC">
        <w:rPr>
          <w:rFonts w:ascii="Arial" w:hAnsi="Arial" w:cs="Arial"/>
          <w:i/>
          <w:iCs/>
          <w:sz w:val="24"/>
          <w:szCs w:val="24"/>
        </w:rPr>
        <w:t>Aportaciones al estudio e intervención de las masculinidades</w:t>
      </w:r>
      <w:r w:rsidRPr="00087BAC">
        <w:rPr>
          <w:rFonts w:ascii="Arial" w:hAnsi="Arial" w:cs="Arial"/>
          <w:sz w:val="24"/>
          <w:szCs w:val="24"/>
        </w:rPr>
        <w:t xml:space="preserve"> (pp. 83-102). </w:t>
      </w:r>
      <w:r w:rsidRPr="00087BAC">
        <w:rPr>
          <w:rFonts w:ascii="Arial" w:hAnsi="Arial" w:cs="Arial"/>
          <w:sz w:val="24"/>
          <w:szCs w:val="24"/>
          <w:lang w:val="es-419"/>
        </w:rPr>
        <w:t>Juan Pablos.</w:t>
      </w:r>
    </w:p>
    <w:p w14:paraId="6D2DF1E4" w14:textId="77777777" w:rsidR="00087BAC" w:rsidRPr="00087BAC" w:rsidRDefault="00087BAC" w:rsidP="00087BAC">
      <w:pPr>
        <w:autoSpaceDE w:val="0"/>
        <w:autoSpaceDN w:val="0"/>
        <w:adjustRightInd w:val="0"/>
        <w:spacing w:after="0" w:line="240" w:lineRule="auto"/>
        <w:ind w:left="426" w:hanging="426"/>
        <w:contextualSpacing/>
        <w:jc w:val="both"/>
        <w:rPr>
          <w:rFonts w:ascii="Arial" w:hAnsi="Arial" w:cs="Arial"/>
          <w:sz w:val="24"/>
          <w:szCs w:val="24"/>
          <w:lang w:val="en-US"/>
        </w:rPr>
      </w:pPr>
      <w:r w:rsidRPr="00087BAC">
        <w:rPr>
          <w:rFonts w:ascii="Arial" w:hAnsi="Arial" w:cs="Arial"/>
          <w:sz w:val="24"/>
          <w:szCs w:val="24"/>
        </w:rPr>
        <w:lastRenderedPageBreak/>
        <w:t xml:space="preserve">Galán, J. S. F. et al. (2023). </w:t>
      </w:r>
      <w:r w:rsidRPr="00087BAC">
        <w:rPr>
          <w:rFonts w:ascii="Arial" w:hAnsi="Arial" w:cs="Arial"/>
          <w:sz w:val="24"/>
          <w:szCs w:val="24"/>
          <w:lang w:val="en-US"/>
        </w:rPr>
        <w:t>Psychometric properties of the Structural Violence Beliefs Scale for Youth</w:t>
      </w:r>
      <w:r w:rsidRPr="00087BAC">
        <w:rPr>
          <w:rFonts w:ascii="Arial" w:hAnsi="Arial" w:cs="Arial"/>
          <w:i/>
          <w:iCs/>
          <w:sz w:val="24"/>
          <w:szCs w:val="24"/>
          <w:lang w:val="en-US"/>
        </w:rPr>
        <w:t>. Nova Scientia</w:t>
      </w:r>
      <w:r w:rsidRPr="00087BAC">
        <w:rPr>
          <w:rFonts w:ascii="Arial" w:hAnsi="Arial" w:cs="Arial"/>
          <w:sz w:val="24"/>
          <w:szCs w:val="24"/>
          <w:lang w:val="en-US"/>
        </w:rPr>
        <w:t>, </w:t>
      </w:r>
      <w:r w:rsidRPr="00087BAC">
        <w:rPr>
          <w:rFonts w:ascii="Arial" w:hAnsi="Arial" w:cs="Arial"/>
          <w:i/>
          <w:iCs/>
          <w:sz w:val="24"/>
          <w:szCs w:val="24"/>
          <w:lang w:val="en-US"/>
        </w:rPr>
        <w:t>15</w:t>
      </w:r>
      <w:r w:rsidRPr="00087BAC">
        <w:rPr>
          <w:rFonts w:ascii="Arial" w:hAnsi="Arial" w:cs="Arial"/>
          <w:sz w:val="24"/>
          <w:szCs w:val="24"/>
          <w:lang w:val="en-US"/>
        </w:rPr>
        <w:t xml:space="preserve">(30), 1–12. </w:t>
      </w:r>
      <w:hyperlink r:id="rId8" w:history="1">
        <w:r w:rsidRPr="00087BAC">
          <w:rPr>
            <w:rStyle w:val="Hipervnculo"/>
            <w:rFonts w:ascii="Arial" w:hAnsi="Arial" w:cs="Arial"/>
            <w:sz w:val="24"/>
            <w:szCs w:val="24"/>
            <w:lang w:val="en-US"/>
          </w:rPr>
          <w:t>https://doi.org/10.21640/ns.v15i30.3167</w:t>
        </w:r>
      </w:hyperlink>
      <w:r w:rsidRPr="00087BAC">
        <w:rPr>
          <w:rFonts w:ascii="Arial" w:hAnsi="Arial" w:cs="Arial"/>
          <w:sz w:val="24"/>
          <w:szCs w:val="24"/>
          <w:lang w:val="en-US"/>
        </w:rPr>
        <w:t xml:space="preserve"> </w:t>
      </w:r>
    </w:p>
    <w:p w14:paraId="16A59BDC" w14:textId="77777777" w:rsidR="00087BAC" w:rsidRPr="00087BAC" w:rsidRDefault="00087BAC" w:rsidP="00087BAC">
      <w:pPr>
        <w:autoSpaceDE w:val="0"/>
        <w:autoSpaceDN w:val="0"/>
        <w:adjustRightInd w:val="0"/>
        <w:spacing w:after="0" w:line="240" w:lineRule="auto"/>
        <w:ind w:left="426" w:hanging="426"/>
        <w:contextualSpacing/>
        <w:jc w:val="both"/>
        <w:rPr>
          <w:rFonts w:ascii="Arial" w:hAnsi="Arial" w:cs="Arial"/>
          <w:sz w:val="24"/>
          <w:szCs w:val="24"/>
        </w:rPr>
      </w:pPr>
      <w:r w:rsidRPr="00087BAC">
        <w:rPr>
          <w:rFonts w:ascii="Arial" w:hAnsi="Arial" w:cs="Arial"/>
          <w:sz w:val="24"/>
          <w:szCs w:val="24"/>
          <w:lang w:val="en-US"/>
        </w:rPr>
        <w:t>Galtung, J. (1969). Violence, Peace, and Peace Research.</w:t>
      </w:r>
      <w:r w:rsidRPr="00087BAC">
        <w:rPr>
          <w:rFonts w:ascii="Arial" w:hAnsi="Arial" w:cs="Arial"/>
          <w:i/>
          <w:sz w:val="24"/>
          <w:szCs w:val="24"/>
          <w:lang w:val="en-US"/>
        </w:rPr>
        <w:t xml:space="preserve"> Journal of Peace and Research</w:t>
      </w:r>
      <w:r w:rsidRPr="00087BAC">
        <w:rPr>
          <w:rFonts w:ascii="Arial" w:hAnsi="Arial" w:cs="Arial"/>
          <w:iCs/>
          <w:sz w:val="24"/>
          <w:szCs w:val="24"/>
          <w:lang w:val="en-US"/>
        </w:rPr>
        <w:t xml:space="preserve">, </w:t>
      </w:r>
      <w:r w:rsidRPr="00087BAC">
        <w:rPr>
          <w:rFonts w:ascii="Arial" w:hAnsi="Arial" w:cs="Arial"/>
          <w:i/>
          <w:sz w:val="24"/>
          <w:szCs w:val="24"/>
          <w:lang w:val="en-US"/>
        </w:rPr>
        <w:t>6</w:t>
      </w:r>
      <w:r w:rsidRPr="00087BAC">
        <w:rPr>
          <w:rFonts w:ascii="Arial" w:hAnsi="Arial" w:cs="Arial"/>
          <w:iCs/>
          <w:sz w:val="24"/>
          <w:szCs w:val="24"/>
          <w:lang w:val="en-US"/>
        </w:rPr>
        <w:t>(3),</w:t>
      </w:r>
      <w:r w:rsidRPr="00087BAC">
        <w:rPr>
          <w:rFonts w:ascii="Arial" w:hAnsi="Arial" w:cs="Arial"/>
          <w:sz w:val="24"/>
          <w:szCs w:val="24"/>
          <w:lang w:val="en-US"/>
        </w:rPr>
        <w:t xml:space="preserve"> 167-191. </w:t>
      </w:r>
      <w:hyperlink r:id="rId9" w:history="1">
        <w:r w:rsidRPr="00087BAC">
          <w:rPr>
            <w:rStyle w:val="Hipervnculo"/>
            <w:rFonts w:ascii="Arial" w:hAnsi="Arial" w:cs="Arial"/>
            <w:sz w:val="24"/>
            <w:szCs w:val="24"/>
          </w:rPr>
          <w:t>http://www.jstor.org/stable/422690</w:t>
        </w:r>
      </w:hyperlink>
    </w:p>
    <w:p w14:paraId="6A590D47" w14:textId="77777777" w:rsidR="00087BAC" w:rsidRPr="00087BAC" w:rsidRDefault="00087BAC" w:rsidP="00087BAC">
      <w:pPr>
        <w:spacing w:after="0" w:line="240" w:lineRule="auto"/>
        <w:ind w:left="426" w:hanging="426"/>
        <w:contextualSpacing/>
        <w:jc w:val="both"/>
        <w:rPr>
          <w:rFonts w:ascii="Arial" w:hAnsi="Arial" w:cs="Arial"/>
          <w:sz w:val="24"/>
          <w:szCs w:val="24"/>
        </w:rPr>
      </w:pPr>
      <w:r w:rsidRPr="00087BAC">
        <w:rPr>
          <w:rFonts w:ascii="Arial" w:hAnsi="Arial" w:cs="Arial"/>
          <w:sz w:val="24"/>
          <w:szCs w:val="24"/>
        </w:rPr>
        <w:t xml:space="preserve">Galtung, J. (2016). La violencia: cultural, estructural y directa. </w:t>
      </w:r>
      <w:r w:rsidRPr="00087BAC">
        <w:rPr>
          <w:rFonts w:ascii="Arial" w:hAnsi="Arial" w:cs="Arial"/>
          <w:i/>
          <w:sz w:val="24"/>
          <w:szCs w:val="24"/>
        </w:rPr>
        <w:t>Cuadernos de Estrategia</w:t>
      </w:r>
      <w:r w:rsidRPr="00087BAC">
        <w:rPr>
          <w:rFonts w:ascii="Arial" w:hAnsi="Arial" w:cs="Arial"/>
          <w:sz w:val="24"/>
          <w:szCs w:val="24"/>
        </w:rPr>
        <w:t xml:space="preserve">, </w:t>
      </w:r>
      <w:r w:rsidRPr="00087BAC">
        <w:rPr>
          <w:rFonts w:ascii="Arial" w:hAnsi="Arial" w:cs="Arial"/>
          <w:i/>
          <w:iCs/>
          <w:sz w:val="24"/>
          <w:szCs w:val="24"/>
        </w:rPr>
        <w:t>183,</w:t>
      </w:r>
      <w:r w:rsidRPr="00087BAC">
        <w:rPr>
          <w:rFonts w:ascii="Arial" w:hAnsi="Arial" w:cs="Arial"/>
          <w:sz w:val="24"/>
          <w:szCs w:val="24"/>
        </w:rPr>
        <w:t xml:space="preserve"> 147-168.  </w:t>
      </w:r>
      <w:hyperlink r:id="rId10" w:history="1">
        <w:r w:rsidRPr="00087BAC">
          <w:rPr>
            <w:rStyle w:val="Hipervnculo"/>
            <w:rFonts w:ascii="Arial" w:hAnsi="Arial" w:cs="Arial"/>
            <w:sz w:val="24"/>
            <w:szCs w:val="24"/>
          </w:rPr>
          <w:t>https://dialnet.unirioja.es/ejemplar/451439</w:t>
        </w:r>
      </w:hyperlink>
      <w:r w:rsidRPr="00087BAC">
        <w:rPr>
          <w:rFonts w:ascii="Arial" w:hAnsi="Arial" w:cs="Arial"/>
          <w:sz w:val="24"/>
          <w:szCs w:val="24"/>
        </w:rPr>
        <w:t xml:space="preserve"> </w:t>
      </w:r>
    </w:p>
    <w:p w14:paraId="755F4C22" w14:textId="77777777" w:rsidR="00087BAC" w:rsidRPr="00087BAC" w:rsidRDefault="00087BAC" w:rsidP="00087BAC">
      <w:pPr>
        <w:suppressAutoHyphens/>
        <w:spacing w:after="0" w:line="240" w:lineRule="auto"/>
        <w:ind w:left="426" w:hanging="426"/>
        <w:jc w:val="both"/>
        <w:rPr>
          <w:rFonts w:ascii="Arial" w:hAnsi="Arial" w:cs="Arial"/>
          <w:sz w:val="24"/>
          <w:szCs w:val="24"/>
        </w:rPr>
      </w:pPr>
      <w:r w:rsidRPr="00087BAC">
        <w:rPr>
          <w:rFonts w:ascii="Arial" w:hAnsi="Arial" w:cs="Arial"/>
          <w:sz w:val="24"/>
          <w:szCs w:val="24"/>
        </w:rPr>
        <w:t xml:space="preserve">Gobierno de México. (2023). </w:t>
      </w:r>
      <w:r w:rsidRPr="00087BAC">
        <w:rPr>
          <w:rFonts w:ascii="Arial" w:hAnsi="Arial" w:cs="Arial"/>
          <w:i/>
          <w:iCs/>
          <w:sz w:val="24"/>
          <w:szCs w:val="24"/>
        </w:rPr>
        <w:t xml:space="preserve">Informe anual sobre la situación de pobreza y rezago social 2023 </w:t>
      </w:r>
      <w:r w:rsidRPr="00087BAC">
        <w:rPr>
          <w:rFonts w:ascii="Arial" w:hAnsi="Arial" w:cs="Arial"/>
          <w:sz w:val="24"/>
          <w:szCs w:val="24"/>
        </w:rPr>
        <w:t xml:space="preserve">[Archivo PDF]. </w:t>
      </w:r>
      <w:hyperlink r:id="rId11" w:history="1">
        <w:r w:rsidRPr="00087BAC">
          <w:rPr>
            <w:rStyle w:val="Hipervnculo"/>
            <w:rFonts w:ascii="Arial" w:hAnsi="Arial" w:cs="Arial"/>
            <w:sz w:val="24"/>
            <w:szCs w:val="24"/>
          </w:rPr>
          <w:t>https://www.gob.mx/cms/uploads/attachment/file/791855/15Mexico23.pdf</w:t>
        </w:r>
      </w:hyperlink>
    </w:p>
    <w:p w14:paraId="63F8B168" w14:textId="77777777" w:rsidR="00087BAC" w:rsidRPr="00087BAC" w:rsidRDefault="00087BAC" w:rsidP="00087BAC">
      <w:pPr>
        <w:suppressAutoHyphens/>
        <w:spacing w:after="0" w:line="240" w:lineRule="auto"/>
        <w:ind w:left="426" w:hanging="426"/>
        <w:jc w:val="both"/>
        <w:rPr>
          <w:rFonts w:ascii="Arial" w:hAnsi="Arial" w:cs="Arial"/>
          <w:sz w:val="24"/>
          <w:szCs w:val="24"/>
        </w:rPr>
      </w:pPr>
      <w:r w:rsidRPr="00087BAC">
        <w:rPr>
          <w:rFonts w:ascii="Arial" w:hAnsi="Arial" w:cs="Arial"/>
          <w:sz w:val="24"/>
          <w:szCs w:val="24"/>
        </w:rPr>
        <w:t xml:space="preserve">Goss-Sampson, M. (2019). </w:t>
      </w:r>
      <w:r w:rsidRPr="00087BAC">
        <w:rPr>
          <w:rFonts w:ascii="Arial" w:hAnsi="Arial" w:cs="Arial"/>
          <w:i/>
          <w:iCs/>
          <w:sz w:val="24"/>
          <w:szCs w:val="24"/>
        </w:rPr>
        <w:t xml:space="preserve">Análisis estadístico con Jasp: una guía para estudiantes </w:t>
      </w:r>
      <w:r w:rsidRPr="00087BAC">
        <w:rPr>
          <w:rFonts w:ascii="Arial" w:hAnsi="Arial" w:cs="Arial"/>
          <w:sz w:val="24"/>
          <w:szCs w:val="24"/>
        </w:rPr>
        <w:t xml:space="preserve">(J. Meneses, Trad.). Fundación per a la Universitat Oberta de Catalunya.  </w:t>
      </w:r>
      <w:hyperlink r:id="rId12" w:history="1">
        <w:r w:rsidRPr="00087BAC">
          <w:rPr>
            <w:rStyle w:val="Hipervnculo"/>
            <w:rFonts w:ascii="Arial" w:hAnsi="Arial" w:cs="Arial"/>
            <w:sz w:val="24"/>
            <w:szCs w:val="24"/>
            <w:lang w:val="es-419"/>
          </w:rPr>
          <w:t>https://cife.edu.mx/recursos/analisis-estadistico-con-jasp-una-guia-para-estudiantes/</w:t>
        </w:r>
      </w:hyperlink>
    </w:p>
    <w:p w14:paraId="56BAC2C3" w14:textId="77777777" w:rsidR="00087BAC" w:rsidRPr="00087BAC" w:rsidRDefault="00087BAC" w:rsidP="00087BAC">
      <w:pPr>
        <w:autoSpaceDE w:val="0"/>
        <w:autoSpaceDN w:val="0"/>
        <w:adjustRightInd w:val="0"/>
        <w:spacing w:after="0" w:line="240" w:lineRule="auto"/>
        <w:ind w:left="426" w:hanging="426"/>
        <w:contextualSpacing/>
        <w:jc w:val="both"/>
        <w:rPr>
          <w:rFonts w:ascii="Arial" w:hAnsi="Arial" w:cs="Arial"/>
          <w:sz w:val="24"/>
          <w:szCs w:val="24"/>
        </w:rPr>
      </w:pPr>
      <w:r w:rsidRPr="00087BAC">
        <w:rPr>
          <w:rFonts w:ascii="Arial" w:hAnsi="Arial" w:cs="Arial"/>
          <w:sz w:val="24"/>
          <w:szCs w:val="24"/>
          <w:lang w:val="en-US"/>
        </w:rPr>
        <w:t xml:space="preserve">Institute for Economics &amp; Peace (2022). </w:t>
      </w:r>
      <w:r w:rsidRPr="00087BAC">
        <w:rPr>
          <w:rFonts w:ascii="Arial" w:hAnsi="Arial" w:cs="Arial"/>
          <w:i/>
          <w:iCs/>
          <w:sz w:val="24"/>
          <w:szCs w:val="24"/>
          <w:lang w:val="en-US"/>
        </w:rPr>
        <w:t>Global Peace Index 2022. Measuring Peace in a Complex World</w:t>
      </w:r>
      <w:r w:rsidRPr="00087BAC">
        <w:rPr>
          <w:rFonts w:ascii="Arial" w:hAnsi="Arial" w:cs="Arial"/>
          <w:sz w:val="24"/>
          <w:szCs w:val="24"/>
          <w:lang w:val="en-US"/>
        </w:rPr>
        <w:t xml:space="preserve">. Institute for Economics &amp; Peace. </w:t>
      </w:r>
      <w:hyperlink r:id="rId13" w:history="1">
        <w:r w:rsidRPr="00087BAC">
          <w:rPr>
            <w:rStyle w:val="Hipervnculo"/>
            <w:rFonts w:ascii="Arial" w:hAnsi="Arial" w:cs="Arial"/>
            <w:sz w:val="24"/>
            <w:szCs w:val="24"/>
          </w:rPr>
          <w:t>http://visionofhumanity.org/resources</w:t>
        </w:r>
      </w:hyperlink>
    </w:p>
    <w:p w14:paraId="55CEA6D4" w14:textId="77777777" w:rsidR="00087BAC" w:rsidRPr="00087BAC" w:rsidRDefault="00087BAC" w:rsidP="00087BAC">
      <w:pPr>
        <w:autoSpaceDE w:val="0"/>
        <w:autoSpaceDN w:val="0"/>
        <w:adjustRightInd w:val="0"/>
        <w:spacing w:after="0" w:line="240" w:lineRule="auto"/>
        <w:ind w:left="426" w:hanging="426"/>
        <w:contextualSpacing/>
        <w:jc w:val="both"/>
        <w:rPr>
          <w:rFonts w:ascii="Arial" w:hAnsi="Arial" w:cs="Arial"/>
          <w:sz w:val="24"/>
          <w:szCs w:val="24"/>
        </w:rPr>
      </w:pPr>
      <w:r w:rsidRPr="00087BAC">
        <w:rPr>
          <w:rFonts w:ascii="Arial" w:hAnsi="Arial" w:cs="Arial"/>
          <w:sz w:val="24"/>
          <w:szCs w:val="24"/>
        </w:rPr>
        <w:t xml:space="preserve">Instituto Mexicano para la Competitividad (2023). </w:t>
      </w:r>
      <w:r w:rsidRPr="00087BAC">
        <w:rPr>
          <w:rFonts w:ascii="Arial" w:hAnsi="Arial" w:cs="Arial"/>
          <w:i/>
          <w:iCs/>
          <w:sz w:val="24"/>
          <w:szCs w:val="24"/>
        </w:rPr>
        <w:t>Índice de Competitividad Estatal 2023.</w:t>
      </w:r>
      <w:r w:rsidRPr="00087BAC">
        <w:rPr>
          <w:rFonts w:ascii="Arial" w:hAnsi="Arial" w:cs="Arial"/>
          <w:sz w:val="24"/>
          <w:szCs w:val="24"/>
        </w:rPr>
        <w:t xml:space="preserve"> Centro de Investigación en Política Pública. Instituto Mexicano para la Competitividad.</w:t>
      </w:r>
    </w:p>
    <w:p w14:paraId="73E2F3BF" w14:textId="77777777" w:rsidR="00087BAC" w:rsidRPr="00087BAC" w:rsidRDefault="00087BAC" w:rsidP="00087BAC">
      <w:pPr>
        <w:autoSpaceDE w:val="0"/>
        <w:autoSpaceDN w:val="0"/>
        <w:adjustRightInd w:val="0"/>
        <w:spacing w:after="0" w:line="240" w:lineRule="auto"/>
        <w:ind w:left="426" w:hanging="426"/>
        <w:contextualSpacing/>
        <w:jc w:val="both"/>
        <w:rPr>
          <w:rFonts w:ascii="Arial" w:hAnsi="Arial" w:cs="Arial"/>
          <w:sz w:val="24"/>
          <w:szCs w:val="24"/>
        </w:rPr>
      </w:pPr>
      <w:hyperlink r:id="rId14" w:history="1">
        <w:r w:rsidRPr="00087BAC">
          <w:rPr>
            <w:rStyle w:val="Hipervnculo"/>
            <w:rFonts w:ascii="Arial" w:hAnsi="Arial" w:cs="Arial"/>
            <w:sz w:val="24"/>
            <w:szCs w:val="24"/>
          </w:rPr>
          <w:t>https://imco.org.mx/indices/indice-de-competitividad-estatal-2023/</w:t>
        </w:r>
      </w:hyperlink>
      <w:r w:rsidRPr="00087BAC">
        <w:rPr>
          <w:rFonts w:ascii="Arial" w:hAnsi="Arial" w:cs="Arial"/>
          <w:sz w:val="24"/>
          <w:szCs w:val="24"/>
        </w:rPr>
        <w:t xml:space="preserve"> </w:t>
      </w:r>
    </w:p>
    <w:p w14:paraId="64ADD355" w14:textId="77777777" w:rsidR="00087BAC" w:rsidRPr="00087BAC" w:rsidRDefault="00087BAC" w:rsidP="00087BAC">
      <w:pPr>
        <w:spacing w:after="0" w:line="240" w:lineRule="auto"/>
        <w:ind w:left="426" w:hanging="426"/>
        <w:contextualSpacing/>
        <w:jc w:val="both"/>
        <w:rPr>
          <w:rFonts w:ascii="Arial" w:hAnsi="Arial" w:cs="Arial"/>
          <w:sz w:val="24"/>
          <w:szCs w:val="24"/>
          <w:lang w:val="en-US"/>
        </w:rPr>
      </w:pPr>
      <w:r w:rsidRPr="00087BAC">
        <w:rPr>
          <w:rFonts w:ascii="Arial" w:hAnsi="Arial" w:cs="Arial"/>
          <w:sz w:val="24"/>
          <w:szCs w:val="24"/>
          <w:lang w:val="en-US"/>
        </w:rPr>
        <w:t xml:space="preserve">Lee, B. X. (2016). Causes and cures VII: Structural violence. </w:t>
      </w:r>
      <w:r w:rsidRPr="00087BAC">
        <w:rPr>
          <w:rFonts w:ascii="Arial" w:hAnsi="Arial" w:cs="Arial"/>
          <w:i/>
          <w:sz w:val="24"/>
          <w:szCs w:val="24"/>
          <w:lang w:val="en-US"/>
        </w:rPr>
        <w:t>Aggression and Violent Behavior</w:t>
      </w:r>
      <w:r w:rsidRPr="00087BAC">
        <w:rPr>
          <w:rFonts w:ascii="Arial" w:hAnsi="Arial" w:cs="Arial"/>
          <w:sz w:val="24"/>
          <w:szCs w:val="24"/>
          <w:lang w:val="en-US"/>
        </w:rPr>
        <w:t xml:space="preserve">, </w:t>
      </w:r>
      <w:r w:rsidRPr="00087BAC">
        <w:rPr>
          <w:rFonts w:ascii="Arial" w:hAnsi="Arial" w:cs="Arial"/>
          <w:i/>
          <w:iCs/>
          <w:sz w:val="24"/>
          <w:szCs w:val="24"/>
          <w:lang w:val="en-US"/>
        </w:rPr>
        <w:t>28</w:t>
      </w:r>
      <w:r w:rsidRPr="00087BAC">
        <w:rPr>
          <w:rFonts w:ascii="Arial" w:hAnsi="Arial" w:cs="Arial"/>
          <w:sz w:val="24"/>
          <w:szCs w:val="24"/>
          <w:lang w:val="en-US"/>
        </w:rPr>
        <w:t xml:space="preserve">, 109-114. </w:t>
      </w:r>
      <w:hyperlink r:id="rId15" w:history="1">
        <w:r w:rsidRPr="00087BAC">
          <w:rPr>
            <w:rStyle w:val="Hipervnculo"/>
            <w:rFonts w:ascii="Arial" w:hAnsi="Arial" w:cs="Arial"/>
            <w:sz w:val="24"/>
            <w:szCs w:val="24"/>
            <w:lang w:val="en-US"/>
          </w:rPr>
          <w:t>https://doi.org/10.1016/j.avb.2016.05.003</w:t>
        </w:r>
      </w:hyperlink>
    </w:p>
    <w:p w14:paraId="7B9141E9" w14:textId="77777777" w:rsidR="00087BAC" w:rsidRPr="00087BAC" w:rsidRDefault="00087BAC" w:rsidP="00087BAC">
      <w:pPr>
        <w:spacing w:after="0" w:line="240" w:lineRule="auto"/>
        <w:ind w:left="426" w:hanging="426"/>
        <w:contextualSpacing/>
        <w:jc w:val="both"/>
        <w:rPr>
          <w:rFonts w:ascii="Arial" w:hAnsi="Arial" w:cs="Arial"/>
          <w:sz w:val="24"/>
          <w:szCs w:val="24"/>
        </w:rPr>
      </w:pPr>
      <w:r w:rsidRPr="00087BAC">
        <w:rPr>
          <w:rFonts w:ascii="Arial" w:hAnsi="Arial" w:cs="Arial"/>
          <w:sz w:val="24"/>
          <w:szCs w:val="24"/>
        </w:rPr>
        <w:t xml:space="preserve">Loeza, L. (2017). Violencia estructural, marcos de interpretación y derechos humanos en México. </w:t>
      </w:r>
      <w:r w:rsidRPr="00087BAC">
        <w:rPr>
          <w:rFonts w:ascii="Arial" w:hAnsi="Arial" w:cs="Arial"/>
          <w:i/>
          <w:iCs/>
          <w:sz w:val="24"/>
          <w:szCs w:val="24"/>
        </w:rPr>
        <w:t>Argumentos</w:t>
      </w:r>
      <w:r w:rsidRPr="00087BAC">
        <w:rPr>
          <w:rFonts w:ascii="Arial" w:hAnsi="Arial" w:cs="Arial"/>
          <w:sz w:val="24"/>
          <w:szCs w:val="24"/>
        </w:rPr>
        <w:t>,</w:t>
      </w:r>
      <w:r w:rsidRPr="00087BAC">
        <w:rPr>
          <w:rFonts w:ascii="Arial" w:hAnsi="Arial" w:cs="Arial"/>
          <w:i/>
          <w:iCs/>
          <w:sz w:val="24"/>
          <w:szCs w:val="24"/>
        </w:rPr>
        <w:t xml:space="preserve"> 30</w:t>
      </w:r>
      <w:r w:rsidRPr="00087BAC">
        <w:rPr>
          <w:rFonts w:ascii="Arial" w:hAnsi="Arial" w:cs="Arial"/>
          <w:sz w:val="24"/>
          <w:szCs w:val="24"/>
        </w:rPr>
        <w:t xml:space="preserve">(83), 249-274. </w:t>
      </w:r>
      <w:hyperlink r:id="rId16" w:history="1">
        <w:r w:rsidRPr="00087BAC">
          <w:rPr>
            <w:rStyle w:val="Hipervnculo"/>
            <w:rFonts w:ascii="Arial" w:hAnsi="Arial" w:cs="Arial"/>
            <w:sz w:val="24"/>
            <w:szCs w:val="24"/>
          </w:rPr>
          <w:t>http://www.redalyc.org/articulo.oa?id=59552649011</w:t>
        </w:r>
      </w:hyperlink>
    </w:p>
    <w:p w14:paraId="0E9A8647" w14:textId="77777777" w:rsidR="00087BAC" w:rsidRPr="00087BAC" w:rsidRDefault="00087BAC" w:rsidP="00087BAC">
      <w:pPr>
        <w:spacing w:after="0" w:line="240" w:lineRule="auto"/>
        <w:ind w:left="426" w:hanging="426"/>
        <w:jc w:val="both"/>
        <w:rPr>
          <w:rFonts w:ascii="Arial" w:hAnsi="Arial" w:cs="Arial"/>
          <w:sz w:val="24"/>
          <w:szCs w:val="24"/>
        </w:rPr>
      </w:pPr>
      <w:r w:rsidRPr="00087BAC">
        <w:rPr>
          <w:rFonts w:ascii="Arial" w:hAnsi="Arial" w:cs="Arial"/>
          <w:sz w:val="24"/>
          <w:szCs w:val="24"/>
        </w:rPr>
        <w:t>Molina, J. y Rottenbacher, J. M. (2015). Ideología política y justificación de la inequidad en dos muestras limeñas de sectores socioeconómicos opuestos. </w:t>
      </w:r>
      <w:r w:rsidRPr="00087BAC">
        <w:rPr>
          <w:rFonts w:ascii="Arial" w:hAnsi="Arial" w:cs="Arial"/>
          <w:i/>
          <w:iCs/>
          <w:sz w:val="24"/>
          <w:szCs w:val="24"/>
        </w:rPr>
        <w:t>Liberabit, 21</w:t>
      </w:r>
      <w:r w:rsidRPr="00087BAC">
        <w:rPr>
          <w:rFonts w:ascii="Arial" w:hAnsi="Arial" w:cs="Arial"/>
          <w:sz w:val="24"/>
          <w:szCs w:val="24"/>
        </w:rPr>
        <w:t xml:space="preserve">(1), 21-36. </w:t>
      </w:r>
      <w:hyperlink r:id="rId17" w:history="1">
        <w:r w:rsidRPr="00087BAC">
          <w:rPr>
            <w:rStyle w:val="Hipervnculo"/>
            <w:rFonts w:ascii="Arial" w:hAnsi="Arial" w:cs="Arial"/>
            <w:sz w:val="24"/>
            <w:szCs w:val="24"/>
          </w:rPr>
          <w:t>http://www.scielo.org.pe/scielo.php?script=sci_arttext&amp;pid=S1729-48272015000100003&amp;lng=es&amp;tlng=es</w:t>
        </w:r>
      </w:hyperlink>
      <w:r w:rsidRPr="00087BAC">
        <w:rPr>
          <w:rFonts w:ascii="Arial" w:hAnsi="Arial" w:cs="Arial"/>
          <w:color w:val="000000"/>
          <w:sz w:val="24"/>
          <w:szCs w:val="24"/>
        </w:rPr>
        <w:t xml:space="preserve"> </w:t>
      </w:r>
    </w:p>
    <w:p w14:paraId="591E045E" w14:textId="77777777" w:rsidR="00087BAC" w:rsidRPr="00087BAC" w:rsidRDefault="00087BAC" w:rsidP="00087BAC">
      <w:pPr>
        <w:spacing w:after="0" w:line="240" w:lineRule="auto"/>
        <w:ind w:left="426" w:hanging="426"/>
        <w:jc w:val="both"/>
        <w:rPr>
          <w:rFonts w:ascii="Arial" w:hAnsi="Arial" w:cs="Arial"/>
          <w:sz w:val="24"/>
          <w:szCs w:val="24"/>
          <w:lang w:val="es-419"/>
        </w:rPr>
      </w:pPr>
      <w:r w:rsidRPr="00087BAC">
        <w:rPr>
          <w:rFonts w:ascii="Arial" w:hAnsi="Arial" w:cs="Arial"/>
          <w:sz w:val="24"/>
          <w:szCs w:val="24"/>
          <w:lang w:val="es-419"/>
        </w:rPr>
        <w:t xml:space="preserve">Molina, H. (1 de noviembre de 2018). </w:t>
      </w:r>
      <w:r w:rsidRPr="00087BAC">
        <w:rPr>
          <w:rFonts w:ascii="Arial" w:hAnsi="Arial" w:cs="Arial"/>
          <w:i/>
          <w:iCs/>
          <w:sz w:val="24"/>
          <w:szCs w:val="24"/>
          <w:lang w:val="es-419"/>
        </w:rPr>
        <w:t>Asesinato, principal causa de muerte de jóvenes en México.</w:t>
      </w:r>
      <w:r w:rsidRPr="00087BAC">
        <w:rPr>
          <w:rFonts w:ascii="Arial" w:hAnsi="Arial" w:cs="Arial"/>
          <w:sz w:val="24"/>
          <w:szCs w:val="24"/>
          <w:lang w:val="es-419"/>
        </w:rPr>
        <w:t xml:space="preserve"> </w:t>
      </w:r>
      <w:hyperlink r:id="rId18" w:history="1">
        <w:r w:rsidRPr="00087BAC">
          <w:rPr>
            <w:rStyle w:val="Hipervnculo"/>
            <w:rFonts w:ascii="Arial" w:hAnsi="Arial" w:cs="Arial"/>
            <w:sz w:val="24"/>
            <w:szCs w:val="24"/>
            <w:lang w:val="es-419"/>
          </w:rPr>
          <w:t>https://www.eleconomista.com.mx/politica/Asesinato-principal-causa-de-muerte-de-jovenes-en-Mexico-20181101-0022.html</w:t>
        </w:r>
      </w:hyperlink>
    </w:p>
    <w:p w14:paraId="6F9A7B4A" w14:textId="23AD9B7D" w:rsidR="00087BAC" w:rsidRPr="00087BAC" w:rsidRDefault="00087BAC" w:rsidP="00087BAC">
      <w:pPr>
        <w:spacing w:after="0" w:line="240" w:lineRule="auto"/>
        <w:ind w:left="426" w:hanging="426"/>
        <w:jc w:val="both"/>
        <w:rPr>
          <w:rFonts w:ascii="Arial" w:hAnsi="Arial" w:cs="Arial"/>
          <w:sz w:val="24"/>
          <w:szCs w:val="24"/>
          <w:lang w:val="es-419"/>
        </w:rPr>
      </w:pPr>
      <w:r w:rsidRPr="00087BAC">
        <w:rPr>
          <w:rFonts w:ascii="Arial" w:hAnsi="Arial" w:cs="Arial"/>
          <w:sz w:val="24"/>
          <w:szCs w:val="24"/>
          <w:lang w:val="es-419"/>
        </w:rPr>
        <w:t xml:space="preserve">Mosquera, J. M. (2017). </w:t>
      </w:r>
      <w:r w:rsidRPr="00087BAC">
        <w:rPr>
          <w:rFonts w:ascii="Arial" w:hAnsi="Arial" w:cs="Arial"/>
          <w:i/>
          <w:iCs/>
          <w:sz w:val="24"/>
          <w:szCs w:val="24"/>
          <w:lang w:val="es-419"/>
        </w:rPr>
        <w:t xml:space="preserve">La violencia y sus posibles soluciones como impacto organizacional en el clima escolar </w:t>
      </w:r>
      <w:r w:rsidR="001D40D8">
        <w:rPr>
          <w:rFonts w:ascii="Arial" w:hAnsi="Arial" w:cs="Arial"/>
          <w:i/>
          <w:iCs/>
          <w:sz w:val="24"/>
          <w:szCs w:val="24"/>
          <w:lang w:val="es-419"/>
        </w:rPr>
        <w:t>educativo</w:t>
      </w:r>
      <w:r w:rsidRPr="00087BAC">
        <w:rPr>
          <w:rFonts w:ascii="Arial" w:hAnsi="Arial" w:cs="Arial"/>
          <w:sz w:val="24"/>
          <w:szCs w:val="24"/>
          <w:lang w:val="es-419"/>
        </w:rPr>
        <w:t xml:space="preserve"> [Tesis de especialidad]. Universidad Católica de Manizales.</w:t>
      </w:r>
    </w:p>
    <w:p w14:paraId="1478AA5D" w14:textId="77777777" w:rsidR="00087BAC" w:rsidRPr="00087BAC" w:rsidRDefault="00087BAC" w:rsidP="00087BAC">
      <w:pPr>
        <w:spacing w:after="0" w:line="240" w:lineRule="auto"/>
        <w:ind w:left="426" w:hanging="426"/>
        <w:jc w:val="both"/>
        <w:rPr>
          <w:rFonts w:ascii="Arial" w:hAnsi="Arial" w:cs="Arial"/>
          <w:sz w:val="24"/>
          <w:szCs w:val="24"/>
          <w:lang w:val="es-419"/>
        </w:rPr>
      </w:pPr>
      <w:hyperlink r:id="rId19" w:history="1">
        <w:r w:rsidRPr="00087BAC">
          <w:rPr>
            <w:rStyle w:val="Hipervnculo"/>
            <w:rFonts w:ascii="Arial" w:hAnsi="Arial" w:cs="Arial"/>
            <w:sz w:val="24"/>
            <w:szCs w:val="24"/>
            <w:lang w:val="es-419"/>
          </w:rPr>
          <w:t>https://repositorio.ucm.edu.co/jspui/bitstream/10839/2043/1/Jos%C3%A9%20Mar%C3%ADa%20Mosquera%20%C3%91anez.pdf</w:t>
        </w:r>
      </w:hyperlink>
      <w:r w:rsidRPr="00087BAC">
        <w:rPr>
          <w:rFonts w:ascii="Arial" w:hAnsi="Arial" w:cs="Arial"/>
          <w:sz w:val="24"/>
          <w:szCs w:val="24"/>
          <w:lang w:val="es-419"/>
        </w:rPr>
        <w:t xml:space="preserve"> </w:t>
      </w:r>
    </w:p>
    <w:p w14:paraId="742C7B96" w14:textId="77777777" w:rsidR="00087BAC" w:rsidRPr="00087BAC" w:rsidRDefault="00087BAC" w:rsidP="00087BAC">
      <w:pPr>
        <w:spacing w:after="0" w:line="240" w:lineRule="auto"/>
        <w:ind w:left="426" w:hanging="426"/>
        <w:contextualSpacing/>
        <w:jc w:val="both"/>
        <w:rPr>
          <w:rFonts w:ascii="Arial" w:hAnsi="Arial" w:cs="Arial"/>
          <w:sz w:val="24"/>
          <w:szCs w:val="24"/>
        </w:rPr>
      </w:pPr>
      <w:r w:rsidRPr="00087BAC">
        <w:rPr>
          <w:rFonts w:ascii="Arial" w:hAnsi="Arial" w:cs="Arial"/>
          <w:sz w:val="24"/>
          <w:szCs w:val="24"/>
        </w:rPr>
        <w:t xml:space="preserve">ONU (24 de noviembre, 2021). </w:t>
      </w:r>
      <w:r w:rsidRPr="00087BAC">
        <w:rPr>
          <w:rFonts w:ascii="Arial" w:hAnsi="Arial" w:cs="Arial"/>
          <w:i/>
          <w:iCs/>
          <w:sz w:val="24"/>
          <w:szCs w:val="24"/>
        </w:rPr>
        <w:t>Nuevos datos de ONU Mujeres confirman que la violencia contra las mujeres ha empeorado debido a la pandemia de COVID-19</w:t>
      </w:r>
      <w:r w:rsidRPr="00087BAC">
        <w:rPr>
          <w:rFonts w:ascii="Arial" w:hAnsi="Arial" w:cs="Arial"/>
          <w:sz w:val="24"/>
          <w:szCs w:val="24"/>
        </w:rPr>
        <w:t xml:space="preserve">. ONU Mujeres. </w:t>
      </w:r>
      <w:hyperlink r:id="rId20" w:history="1">
        <w:r w:rsidRPr="00087BAC">
          <w:rPr>
            <w:rStyle w:val="Hipervnculo"/>
            <w:rFonts w:ascii="Arial" w:hAnsi="Arial" w:cs="Arial"/>
            <w:sz w:val="24"/>
            <w:szCs w:val="24"/>
            <w:lang w:val="es-419"/>
          </w:rPr>
          <w:t>https://coronavirus.onu.org.mx/nuevos-datos-de-onu-mujeres-confirman-que-la-violencia-contra-las-mujeres-ha-empeorado-debido-a-la-pandemia-de-covid-19</w:t>
        </w:r>
      </w:hyperlink>
      <w:r w:rsidRPr="00087BAC">
        <w:rPr>
          <w:rFonts w:ascii="Arial" w:hAnsi="Arial" w:cs="Arial"/>
          <w:sz w:val="24"/>
          <w:szCs w:val="24"/>
          <w:lang w:val="es-419"/>
        </w:rPr>
        <w:t xml:space="preserve"> </w:t>
      </w:r>
    </w:p>
    <w:p w14:paraId="698E2678" w14:textId="424C698F" w:rsidR="00087BAC" w:rsidRPr="00087BAC" w:rsidRDefault="00087BAC" w:rsidP="00087BAC">
      <w:pPr>
        <w:suppressAutoHyphens/>
        <w:spacing w:after="0" w:line="240" w:lineRule="auto"/>
        <w:ind w:left="426" w:hanging="426"/>
        <w:jc w:val="both"/>
        <w:rPr>
          <w:rFonts w:ascii="Arial" w:hAnsi="Arial" w:cs="Arial"/>
          <w:sz w:val="24"/>
          <w:szCs w:val="24"/>
        </w:rPr>
      </w:pPr>
      <w:r w:rsidRPr="00087BAC">
        <w:rPr>
          <w:rFonts w:ascii="Arial" w:hAnsi="Arial" w:cs="Arial"/>
          <w:sz w:val="24"/>
          <w:szCs w:val="24"/>
        </w:rPr>
        <w:lastRenderedPageBreak/>
        <w:t xml:space="preserve">Rivera-Acevedo, M. A. (2016). La violencia nuestra de cada día: </w:t>
      </w:r>
      <w:r w:rsidR="001D40D8">
        <w:rPr>
          <w:rFonts w:ascii="Arial" w:hAnsi="Arial" w:cs="Arial"/>
          <w:sz w:val="24"/>
          <w:szCs w:val="24"/>
        </w:rPr>
        <w:t>entenderla</w:t>
      </w:r>
      <w:r w:rsidRPr="00087BAC">
        <w:rPr>
          <w:rFonts w:ascii="Arial" w:hAnsi="Arial" w:cs="Arial"/>
          <w:sz w:val="24"/>
          <w:szCs w:val="24"/>
        </w:rPr>
        <w:t xml:space="preserve"> para erradicarla. </w:t>
      </w:r>
      <w:r w:rsidRPr="00087BAC">
        <w:rPr>
          <w:rFonts w:ascii="Arial" w:hAnsi="Arial" w:cs="Arial"/>
          <w:i/>
          <w:iCs/>
          <w:sz w:val="24"/>
          <w:szCs w:val="24"/>
        </w:rPr>
        <w:t>Revista Electrónica Educare, 20</w:t>
      </w:r>
      <w:r w:rsidRPr="00087BAC">
        <w:rPr>
          <w:rFonts w:ascii="Arial" w:hAnsi="Arial" w:cs="Arial"/>
          <w:sz w:val="24"/>
          <w:szCs w:val="24"/>
        </w:rPr>
        <w:t xml:space="preserve">(3), 483-501. </w:t>
      </w:r>
      <w:hyperlink r:id="rId21" w:history="1">
        <w:r w:rsidRPr="00087BAC">
          <w:rPr>
            <w:rStyle w:val="Hipervnculo"/>
            <w:rFonts w:ascii="Arial" w:hAnsi="Arial" w:cs="Arial"/>
            <w:sz w:val="24"/>
            <w:szCs w:val="24"/>
          </w:rPr>
          <w:t>https://dx.doi.org/10.15359/ree.20-3.24</w:t>
        </w:r>
      </w:hyperlink>
    </w:p>
    <w:p w14:paraId="0D66C8E6" w14:textId="77777777" w:rsidR="00087BAC" w:rsidRPr="00087BAC" w:rsidRDefault="00087BAC" w:rsidP="00087BAC">
      <w:pPr>
        <w:suppressAutoHyphens/>
        <w:spacing w:after="0" w:line="240" w:lineRule="auto"/>
        <w:ind w:left="426" w:hanging="426"/>
        <w:jc w:val="both"/>
        <w:rPr>
          <w:rStyle w:val="Hipervnculo"/>
          <w:rFonts w:ascii="Arial" w:hAnsi="Arial" w:cs="Arial"/>
          <w:sz w:val="24"/>
          <w:szCs w:val="24"/>
        </w:rPr>
      </w:pPr>
      <w:r w:rsidRPr="00087BAC">
        <w:rPr>
          <w:rFonts w:ascii="Arial" w:hAnsi="Arial" w:cs="Arial"/>
          <w:sz w:val="24"/>
          <w:szCs w:val="24"/>
        </w:rPr>
        <w:t xml:space="preserve">Seguridad, Justicia y Paz (20 de febrero de 2023). </w:t>
      </w:r>
      <w:r w:rsidRPr="00087BAC">
        <w:rPr>
          <w:rFonts w:ascii="Arial" w:hAnsi="Arial" w:cs="Arial"/>
          <w:i/>
          <w:iCs/>
          <w:sz w:val="24"/>
          <w:szCs w:val="24"/>
        </w:rPr>
        <w:t>Ranking 2022 de las 50 ciudades más violentas del mundo</w:t>
      </w:r>
      <w:r w:rsidRPr="00087BAC">
        <w:rPr>
          <w:rFonts w:ascii="Arial" w:hAnsi="Arial" w:cs="Arial"/>
          <w:sz w:val="24"/>
          <w:szCs w:val="24"/>
        </w:rPr>
        <w:t xml:space="preserve">. [Archivo PDF]. </w:t>
      </w:r>
      <w:hyperlink r:id="rId22" w:history="1">
        <w:r w:rsidRPr="00087BAC">
          <w:rPr>
            <w:rStyle w:val="Hipervnculo"/>
            <w:rFonts w:ascii="Arial" w:hAnsi="Arial" w:cs="Arial"/>
            <w:sz w:val="24"/>
            <w:szCs w:val="24"/>
          </w:rPr>
          <w:t>http://geoenlace.net/seguridadjusticiaypaz/archivo/5c1a88_130f090d9a.pdf</w:t>
        </w:r>
      </w:hyperlink>
    </w:p>
    <w:p w14:paraId="3B35EA55" w14:textId="77777777" w:rsidR="00087BAC" w:rsidRPr="00087BAC" w:rsidRDefault="00087BAC" w:rsidP="00087BAC">
      <w:pPr>
        <w:spacing w:after="0" w:line="240" w:lineRule="auto"/>
        <w:ind w:left="426" w:hanging="426"/>
        <w:contextualSpacing/>
        <w:jc w:val="both"/>
        <w:rPr>
          <w:rFonts w:ascii="Arial" w:hAnsi="Arial" w:cs="Arial"/>
          <w:sz w:val="24"/>
          <w:szCs w:val="24"/>
          <w:lang w:val="en-US"/>
        </w:rPr>
      </w:pPr>
      <w:r w:rsidRPr="00087BAC">
        <w:rPr>
          <w:rFonts w:ascii="Arial" w:hAnsi="Arial" w:cs="Arial"/>
          <w:sz w:val="24"/>
          <w:szCs w:val="24"/>
        </w:rPr>
        <w:t xml:space="preserve">Sossenheimer, P. et al. </w:t>
      </w:r>
      <w:r w:rsidRPr="00087BAC">
        <w:rPr>
          <w:rFonts w:ascii="Arial" w:hAnsi="Arial" w:cs="Arial"/>
          <w:sz w:val="24"/>
          <w:szCs w:val="24"/>
          <w:lang w:val="en-US"/>
        </w:rPr>
        <w:t xml:space="preserve">(2018). Structural violence and trauma outcomes: an ethical framework for practical solutions. </w:t>
      </w:r>
      <w:r w:rsidRPr="00087BAC">
        <w:rPr>
          <w:rFonts w:ascii="Arial" w:hAnsi="Arial" w:cs="Arial"/>
          <w:i/>
          <w:sz w:val="24"/>
          <w:szCs w:val="24"/>
          <w:lang w:val="en-US"/>
        </w:rPr>
        <w:t>Journal of the American College of Surgeons</w:t>
      </w:r>
      <w:r w:rsidRPr="00087BAC">
        <w:rPr>
          <w:rFonts w:ascii="Arial" w:hAnsi="Arial" w:cs="Arial"/>
          <w:sz w:val="24"/>
          <w:szCs w:val="24"/>
          <w:lang w:val="en-US"/>
        </w:rPr>
        <w:t>,</w:t>
      </w:r>
      <w:r w:rsidRPr="00087BAC">
        <w:rPr>
          <w:rFonts w:ascii="Arial" w:hAnsi="Arial" w:cs="Arial"/>
          <w:i/>
          <w:iCs/>
          <w:sz w:val="24"/>
          <w:szCs w:val="24"/>
          <w:lang w:val="en-US"/>
        </w:rPr>
        <w:t xml:space="preserve"> 227</w:t>
      </w:r>
      <w:r w:rsidRPr="00087BAC">
        <w:rPr>
          <w:rFonts w:ascii="Arial" w:hAnsi="Arial" w:cs="Arial"/>
          <w:sz w:val="24"/>
          <w:szCs w:val="24"/>
          <w:lang w:val="en-US"/>
        </w:rPr>
        <w:t xml:space="preserve">(5), 537-542. </w:t>
      </w:r>
      <w:hyperlink r:id="rId23" w:history="1">
        <w:r w:rsidRPr="00087BAC">
          <w:rPr>
            <w:rStyle w:val="Hipervnculo"/>
            <w:rFonts w:ascii="Arial" w:hAnsi="Arial" w:cs="Arial"/>
            <w:sz w:val="24"/>
            <w:szCs w:val="24"/>
            <w:lang w:val="en-US"/>
          </w:rPr>
          <w:t>https://www.journalacs.org/article/S1072-7515(18)31333-4/pdf</w:t>
        </w:r>
      </w:hyperlink>
      <w:r w:rsidRPr="00087BAC">
        <w:rPr>
          <w:rFonts w:ascii="Arial" w:hAnsi="Arial" w:cs="Arial"/>
          <w:sz w:val="24"/>
          <w:szCs w:val="24"/>
          <w:lang w:val="en-US"/>
        </w:rPr>
        <w:t>.</w:t>
      </w:r>
    </w:p>
    <w:p w14:paraId="1E6BA35C" w14:textId="36896D51" w:rsidR="00087BAC" w:rsidRPr="00087BAC" w:rsidRDefault="00087BAC" w:rsidP="00087BAC">
      <w:pPr>
        <w:tabs>
          <w:tab w:val="center" w:pos="4419"/>
        </w:tabs>
        <w:spacing w:after="0" w:line="240" w:lineRule="auto"/>
        <w:ind w:left="426" w:hanging="426"/>
        <w:contextualSpacing/>
        <w:jc w:val="both"/>
        <w:rPr>
          <w:rFonts w:ascii="Arial" w:hAnsi="Arial" w:cs="Arial"/>
          <w:sz w:val="24"/>
          <w:szCs w:val="24"/>
          <w:lang w:val="fr-FR"/>
        </w:rPr>
      </w:pPr>
      <w:r w:rsidRPr="00087BAC">
        <w:rPr>
          <w:rFonts w:ascii="Arial" w:hAnsi="Arial" w:cs="Arial"/>
          <w:sz w:val="24"/>
          <w:szCs w:val="24"/>
          <w:lang w:val="es-419"/>
        </w:rPr>
        <w:t xml:space="preserve">Soto, H. y Trucco, D. (2015). Inclusión y contextos de violencia. En, D. Trucco, y H. Ullmann (eds.), </w:t>
      </w:r>
      <w:r w:rsidRPr="00087BAC">
        <w:rPr>
          <w:rFonts w:ascii="Arial" w:hAnsi="Arial" w:cs="Arial"/>
          <w:i/>
          <w:iCs/>
          <w:sz w:val="24"/>
          <w:szCs w:val="24"/>
          <w:lang w:val="es-419"/>
        </w:rPr>
        <w:t>Juventud: realidades y retos para un desarrollo con igualdad</w:t>
      </w:r>
      <w:r w:rsidRPr="00087BAC">
        <w:rPr>
          <w:rFonts w:ascii="Arial" w:hAnsi="Arial" w:cs="Arial"/>
          <w:sz w:val="24"/>
          <w:szCs w:val="24"/>
          <w:lang w:val="es-419"/>
        </w:rPr>
        <w:t xml:space="preserve"> (pp. 115-168). </w:t>
      </w:r>
      <w:r w:rsidRPr="00087BAC">
        <w:rPr>
          <w:rFonts w:ascii="Arial" w:hAnsi="Arial" w:cs="Arial"/>
          <w:sz w:val="24"/>
          <w:szCs w:val="24"/>
          <w:lang w:val="fr-FR"/>
        </w:rPr>
        <w:t xml:space="preserve">CEPAL. </w:t>
      </w:r>
      <w:hyperlink r:id="rId24" w:history="1">
        <w:r w:rsidRPr="00087BAC">
          <w:rPr>
            <w:rStyle w:val="Hipervnculo"/>
            <w:rFonts w:ascii="Arial" w:hAnsi="Arial" w:cs="Arial"/>
            <w:sz w:val="24"/>
            <w:szCs w:val="24"/>
            <w:lang w:val="fr-FR"/>
          </w:rPr>
          <w:t xml:space="preserve">https://www.cepal.org/es/publicaciones/38978-juventud-realidades-retos-un-desarrollo-igualdad  </w:t>
        </w:r>
      </w:hyperlink>
      <w:r w:rsidRPr="00087BAC">
        <w:rPr>
          <w:rFonts w:ascii="Arial" w:hAnsi="Arial" w:cs="Arial"/>
          <w:sz w:val="24"/>
          <w:szCs w:val="24"/>
          <w:lang w:val="fr-FR"/>
        </w:rPr>
        <w:t xml:space="preserve"> </w:t>
      </w:r>
    </w:p>
    <w:p w14:paraId="2266CA27" w14:textId="77777777" w:rsidR="00087BAC" w:rsidRPr="00087BAC" w:rsidRDefault="00087BAC" w:rsidP="00087BAC">
      <w:pPr>
        <w:pStyle w:val="Default"/>
        <w:jc w:val="center"/>
        <w:rPr>
          <w:color w:val="auto"/>
        </w:rPr>
      </w:pPr>
    </w:p>
    <w:p w14:paraId="5C6609D1" w14:textId="77777777" w:rsidR="00087BAC" w:rsidRPr="00087BAC" w:rsidRDefault="00087BAC" w:rsidP="00087BAC">
      <w:pPr>
        <w:pStyle w:val="Default"/>
        <w:jc w:val="center"/>
        <w:rPr>
          <w:color w:val="auto"/>
        </w:rPr>
      </w:pPr>
    </w:p>
    <w:p w14:paraId="519373FC" w14:textId="77777777" w:rsidR="00087BAC" w:rsidRPr="00087BAC" w:rsidRDefault="00087BAC" w:rsidP="00087BAC">
      <w:pPr>
        <w:pStyle w:val="Default"/>
        <w:jc w:val="center"/>
        <w:rPr>
          <w:color w:val="auto"/>
        </w:rPr>
      </w:pPr>
    </w:p>
    <w:p w14:paraId="20D57B51" w14:textId="77777777" w:rsidR="00087BAC" w:rsidRPr="00087BAC" w:rsidRDefault="00087BAC" w:rsidP="00087BAC">
      <w:pPr>
        <w:pStyle w:val="Default"/>
        <w:jc w:val="center"/>
        <w:rPr>
          <w:color w:val="auto"/>
        </w:rPr>
      </w:pPr>
    </w:p>
    <w:p w14:paraId="6837898E" w14:textId="77777777" w:rsidR="00E23E8C" w:rsidRPr="00087BAC" w:rsidRDefault="00E23E8C">
      <w:pPr>
        <w:rPr>
          <w:rFonts w:ascii="Arial" w:hAnsi="Arial" w:cs="Arial"/>
        </w:rPr>
      </w:pPr>
    </w:p>
    <w:sectPr w:rsidR="00E23E8C" w:rsidRPr="00087BAC" w:rsidSect="004F59F8">
      <w:pgSz w:w="12242" w:h="15842" w:code="1"/>
      <w:pgMar w:top="1531" w:right="1701" w:bottom="1531" w:left="1701" w:header="720" w:footer="703"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AC"/>
    <w:rsid w:val="00024FC3"/>
    <w:rsid w:val="00087BAC"/>
    <w:rsid w:val="000C2C00"/>
    <w:rsid w:val="001D40D8"/>
    <w:rsid w:val="00272F88"/>
    <w:rsid w:val="00314B60"/>
    <w:rsid w:val="004F59F8"/>
    <w:rsid w:val="00645248"/>
    <w:rsid w:val="007D4BDB"/>
    <w:rsid w:val="00851751"/>
    <w:rsid w:val="008E43D1"/>
    <w:rsid w:val="00B45E3E"/>
    <w:rsid w:val="00C04153"/>
    <w:rsid w:val="00CA6016"/>
    <w:rsid w:val="00D714E3"/>
    <w:rsid w:val="00E23E8C"/>
    <w:rsid w:val="00F35A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A97B"/>
  <w15:chartTrackingRefBased/>
  <w15:docId w15:val="{285F73A6-5805-4F4E-B094-BA7158BA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AC"/>
    <w:pPr>
      <w:spacing w:after="200" w:line="276" w:lineRule="auto"/>
    </w:pPr>
    <w:rPr>
      <w:kern w:val="0"/>
      <w14:ligatures w14:val="none"/>
    </w:rPr>
  </w:style>
  <w:style w:type="paragraph" w:styleId="Ttulo1">
    <w:name w:val="heading 1"/>
    <w:basedOn w:val="Normal"/>
    <w:next w:val="Normal"/>
    <w:link w:val="Ttulo1Car"/>
    <w:uiPriority w:val="9"/>
    <w:qFormat/>
    <w:rsid w:val="00087BA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087BA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087BAC"/>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087BAC"/>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087BAC"/>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087BAC"/>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087BAC"/>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087BAC"/>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087BAC"/>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7BA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87BA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87BA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87BA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87BA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87B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7B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7B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7BAC"/>
    <w:rPr>
      <w:rFonts w:eastAsiaTheme="majorEastAsia" w:cstheme="majorBidi"/>
      <w:color w:val="272727" w:themeColor="text1" w:themeTint="D8"/>
    </w:rPr>
  </w:style>
  <w:style w:type="paragraph" w:styleId="Ttulo">
    <w:name w:val="Title"/>
    <w:basedOn w:val="Normal"/>
    <w:next w:val="Normal"/>
    <w:link w:val="TtuloCar"/>
    <w:uiPriority w:val="10"/>
    <w:qFormat/>
    <w:rsid w:val="00087BA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087B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7BAC"/>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087B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7BAC"/>
    <w:pPr>
      <w:spacing w:before="160" w:after="160" w:line="259" w:lineRule="auto"/>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087BAC"/>
    <w:rPr>
      <w:i/>
      <w:iCs/>
      <w:color w:val="404040" w:themeColor="text1" w:themeTint="BF"/>
    </w:rPr>
  </w:style>
  <w:style w:type="paragraph" w:styleId="Prrafodelista">
    <w:name w:val="List Paragraph"/>
    <w:basedOn w:val="Normal"/>
    <w:uiPriority w:val="34"/>
    <w:qFormat/>
    <w:rsid w:val="00087BAC"/>
    <w:pPr>
      <w:spacing w:after="160" w:line="259" w:lineRule="auto"/>
      <w:ind w:left="720"/>
      <w:contextualSpacing/>
    </w:pPr>
    <w:rPr>
      <w:kern w:val="2"/>
      <w14:ligatures w14:val="standardContextual"/>
    </w:rPr>
  </w:style>
  <w:style w:type="character" w:styleId="nfasisintenso">
    <w:name w:val="Intense Emphasis"/>
    <w:basedOn w:val="Fuentedeprrafopredeter"/>
    <w:uiPriority w:val="21"/>
    <w:qFormat/>
    <w:rsid w:val="00087BAC"/>
    <w:rPr>
      <w:i/>
      <w:iCs/>
      <w:color w:val="2F5496" w:themeColor="accent1" w:themeShade="BF"/>
    </w:rPr>
  </w:style>
  <w:style w:type="paragraph" w:styleId="Citadestacada">
    <w:name w:val="Intense Quote"/>
    <w:basedOn w:val="Normal"/>
    <w:next w:val="Normal"/>
    <w:link w:val="CitadestacadaCar"/>
    <w:uiPriority w:val="30"/>
    <w:qFormat/>
    <w:rsid w:val="00087BAC"/>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087BAC"/>
    <w:rPr>
      <w:i/>
      <w:iCs/>
      <w:color w:val="2F5496" w:themeColor="accent1" w:themeShade="BF"/>
    </w:rPr>
  </w:style>
  <w:style w:type="character" w:styleId="Referenciaintensa">
    <w:name w:val="Intense Reference"/>
    <w:basedOn w:val="Fuentedeprrafopredeter"/>
    <w:uiPriority w:val="32"/>
    <w:qFormat/>
    <w:rsid w:val="00087BAC"/>
    <w:rPr>
      <w:b/>
      <w:bCs/>
      <w:smallCaps/>
      <w:color w:val="2F5496" w:themeColor="accent1" w:themeShade="BF"/>
      <w:spacing w:val="5"/>
    </w:rPr>
  </w:style>
  <w:style w:type="character" w:styleId="Hipervnculo">
    <w:name w:val="Hyperlink"/>
    <w:basedOn w:val="Fuentedeprrafopredeter"/>
    <w:uiPriority w:val="99"/>
    <w:unhideWhenUsed/>
    <w:rsid w:val="00087BAC"/>
    <w:rPr>
      <w:color w:val="0563C1" w:themeColor="hyperlink"/>
      <w:u w:val="single"/>
    </w:rPr>
  </w:style>
  <w:style w:type="paragraph" w:customStyle="1" w:styleId="Default">
    <w:name w:val="Default"/>
    <w:rsid w:val="00087BAC"/>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640/ns.v15i30.3167" TargetMode="External"/><Relationship Id="rId13" Type="http://schemas.openxmlformats.org/officeDocument/2006/relationships/hyperlink" Target="http://visionofhumanity.org/resources" TargetMode="External"/><Relationship Id="rId18" Type="http://schemas.openxmlformats.org/officeDocument/2006/relationships/hyperlink" Target="https://www.eleconomista.com.mx/politica/Asesinato-principal-causa-de-muerte-de-jovenes-en-Mexico-20181101-0022.html"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dx.doi.org/10.15359/ree.20-3.24" TargetMode="External"/><Relationship Id="rId7" Type="http://schemas.openxmlformats.org/officeDocument/2006/relationships/hyperlink" Target="https://doi.org/10.47741/17943108.364" TargetMode="External"/><Relationship Id="rId12" Type="http://schemas.openxmlformats.org/officeDocument/2006/relationships/hyperlink" Target="https://cife.edu.mx/recursos/analisis-estadistico-con-jasp-una-guia-para-estudiantes/" TargetMode="External"/><Relationship Id="rId17" Type="http://schemas.openxmlformats.org/officeDocument/2006/relationships/hyperlink" Target="http://www.scielo.org.pe/scielo.php?script=sci_arttext&amp;pid=S1729-48272015000100003&amp;lng=es&amp;tlng=es"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redalyc.org/articulo.oa?id=59552649011" TargetMode="External"/><Relationship Id="rId20" Type="http://schemas.openxmlformats.org/officeDocument/2006/relationships/hyperlink" Target="https://coronavirus.onu.org.mx/nuevos-datos-de-onu-mujeres-confirman-que-la-violencia-contra-las-mujeres-ha-empeorado-debido-a-la-pandemia-de-covid-19" TargetMode="External"/><Relationship Id="rId1" Type="http://schemas.openxmlformats.org/officeDocument/2006/relationships/styles" Target="styles.xml"/><Relationship Id="rId6" Type="http://schemas.openxmlformats.org/officeDocument/2006/relationships/hyperlink" Target="https://doi.org/10.6035/Recerca.2015.16.4" TargetMode="External"/><Relationship Id="rId11" Type="http://schemas.openxmlformats.org/officeDocument/2006/relationships/hyperlink" Target="https://www.gob.mx/cms/uploads/attachment/file/791855/15Mexico23.pdf" TargetMode="External"/><Relationship Id="rId24" Type="http://schemas.openxmlformats.org/officeDocument/2006/relationships/hyperlink" Target="https://www.cepal.org/es/publicaciones/38978-juventud-realidades-retos-un-desarrollo-igualdad%20%20" TargetMode="External"/><Relationship Id="rId5" Type="http://schemas.openxmlformats.org/officeDocument/2006/relationships/hyperlink" Target="http://www.apa.org/ethics/code/index.html" TargetMode="External"/><Relationship Id="rId15" Type="http://schemas.openxmlformats.org/officeDocument/2006/relationships/hyperlink" Target="https://doi.org/10.1016/j.avb.2016.05.003" TargetMode="External"/><Relationship Id="rId23" Type="http://schemas.openxmlformats.org/officeDocument/2006/relationships/hyperlink" Target="https://www.journalacs.org/article/S1072-7515(18)31333-4/pdf" TargetMode="External"/><Relationship Id="rId10" Type="http://schemas.openxmlformats.org/officeDocument/2006/relationships/hyperlink" Target="https://dialnet.unirioja.es/ejemplar/451439" TargetMode="External"/><Relationship Id="rId19" Type="http://schemas.openxmlformats.org/officeDocument/2006/relationships/hyperlink" Target="https://repositorio.ucm.edu.co/jspui/bitstream/10839/2043/1/Jos%C3%A9%20Mar%C3%ADa%20Mosquera%20%C3%91anez.pdf" TargetMode="External"/><Relationship Id="rId4" Type="http://schemas.openxmlformats.org/officeDocument/2006/relationships/hyperlink" Target="https://doi.org/10.11600/1692715x.13233090913" TargetMode="External"/><Relationship Id="rId9" Type="http://schemas.openxmlformats.org/officeDocument/2006/relationships/hyperlink" Target="http://www.jstor.org/stable/422690" TargetMode="External"/><Relationship Id="rId14" Type="http://schemas.openxmlformats.org/officeDocument/2006/relationships/hyperlink" Target="https://imco.org.mx/indices/indice-de-competitividad-estatal-2023/" TargetMode="External"/><Relationship Id="rId22" Type="http://schemas.openxmlformats.org/officeDocument/2006/relationships/hyperlink" Target="http://geoenlace.net/seguridadjusticiaypaz/archivo/5c1a88_130f090d9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3297</Words>
  <Characters>18138</Characters>
  <Application>Microsoft Office Word</Application>
  <DocSecurity>0</DocSecurity>
  <Lines>151</Lines>
  <Paragraphs>42</Paragraphs>
  <ScaleCrop>false</ScaleCrop>
  <Company/>
  <LinksUpToDate>false</LinksUpToDate>
  <CharactersWithSpaces>21393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Alejandro García Lara</dc:creator>
  <cp:keywords/>
  <dc:description/>
  <cp:lastModifiedBy>PC</cp:lastModifiedBy>
  <cp:revision>3</cp:revision>
  <dcterms:created xsi:type="dcterms:W3CDTF">2026-07-02T16:56:00Z</dcterms:created>
  <dcterms:modified xsi:type="dcterms:W3CDTF">2026-07-08T21:42:00Z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d122bd4d-a541-4670-9a80-e761a343df75</vt:lpwstr>
  </property>
</Properties>
</file>